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32"/>
        </w:rPr>
        <w:t>HARBOR VISTA EYE CARE</w:t>
      </w:r>
    </w:p>
    <w:p>
      <w:pPr>
        <w:spacing w:after="0"/>
        <w:jc w:val="center"/>
      </w:pPr>
      <w:r>
        <w:rPr>
          <w:rFonts w:ascii="Arial" w:hAnsi="Arial"/>
          <w:sz w:val="20"/>
        </w:rPr>
        <w:t>330 Mariners Bay Boulevard, Suite 4B</w:t>
      </w:r>
    </w:p>
    <w:p>
      <w:pPr>
        <w:spacing w:after="0"/>
        <w:jc w:val="center"/>
      </w:pPr>
      <w:r>
        <w:rPr>
          <w:rFonts w:ascii="Arial" w:hAnsi="Arial"/>
          <w:sz w:val="20"/>
        </w:rPr>
        <w:t>Cypress Harbor, FL 33421</w:t>
      </w:r>
    </w:p>
    <w:p>
      <w:pPr>
        <w:spacing w:after="0"/>
        <w:jc w:val="center"/>
      </w:pPr>
      <w:r>
        <w:rPr>
          <w:rFonts w:ascii="Arial" w:hAnsi="Arial"/>
          <w:sz w:val="20"/>
        </w:rPr>
        <w:t>Phone (561) 555-0902</w:t>
      </w:r>
    </w:p>
    <w:p>
      <w:pPr>
        <w:spacing w:before="40" w:after="40"/>
        <w:pBdr>
          <w:bottom w:val="single" w:sz="6" w:color="000000" w:space="1"/>
        </w:pBdr>
      </w:pPr>
    </w:p>
    <w:p>
      <w:pPr>
        <w:spacing w:before="80" w:after="160"/>
        <w:jc w:val="center"/>
      </w:pPr>
      <w:r>
        <w:rPr>
          <w:rFonts w:ascii="Arial" w:hAnsi="Arial"/>
          <w:b/>
          <w:sz w:val="26"/>
        </w:rPr>
        <w:t>OUTPATIENT DILATED DIABETIC EYE EXAMINATION — RESULT</w:t>
      </w:r>
    </w:p>
    <w:p>
      <w:pPr>
        <w:spacing w:before="0" w:after="40"/>
      </w:pPr>
      <w:r>
        <w:rPr>
          <w:rFonts w:ascii="Arial" w:hAnsi="Arial"/>
          <w:b/>
          <w:i w:val="0"/>
          <w:sz w:val="20"/>
        </w:rPr>
        <w:t xml:space="preserve">Examining Provider: </w:t>
      </w:r>
      <w:r>
        <w:rPr>
          <w:rFonts w:ascii="Arial" w:hAnsi="Arial"/>
          <w:b w:val="0"/>
          <w:i w:val="0"/>
          <w:sz w:val="20"/>
        </w:rPr>
        <w:t>Sergio Maldonado, OD</w:t>
      </w:r>
    </w:p>
    <w:p>
      <w:pPr>
        <w:spacing w:before="0" w:after="40"/>
      </w:pPr>
      <w:r>
        <w:rPr>
          <w:rFonts w:ascii="Arial" w:hAnsi="Arial"/>
          <w:b/>
          <w:i w:val="0"/>
          <w:sz w:val="20"/>
        </w:rPr>
        <w:t xml:space="preserve">Date of Service: </w:t>
      </w:r>
      <w:r>
        <w:rPr>
          <w:rFonts w:ascii="Arial" w:hAnsi="Arial"/>
          <w:b w:val="0"/>
          <w:i w:val="0"/>
          <w:sz w:val="20"/>
        </w:rPr>
        <w:t>03/15/2026</w:t>
      </w:r>
    </w:p>
    <w:p>
      <w:pPr>
        <w:spacing w:before="0" w:after="40"/>
      </w:pPr>
      <w:r>
        <w:rPr>
          <w:rFonts w:ascii="Arial" w:hAnsi="Arial"/>
          <w:b/>
          <w:i w:val="0"/>
          <w:sz w:val="20"/>
        </w:rPr>
        <w:t xml:space="preserve">Status: </w:t>
      </w:r>
      <w:r>
        <w:rPr>
          <w:rFonts w:ascii="Arial" w:hAnsi="Arial"/>
          <w:b w:val="0"/>
          <w:i w:val="0"/>
          <w:sz w:val="20"/>
        </w:rPr>
        <w:t>Final</w:t>
      </w:r>
    </w:p>
    <w:p>
      <w:pPr>
        <w:spacing w:before="200" w:after="60"/>
        <w:pBdr>
          <w:bottom w:val="single" w:sz="6" w:color="666666" w:space="1"/>
        </w:pBdr>
      </w:pPr>
      <w:r>
        <w:rPr>
          <w:rFonts w:ascii="Arial" w:hAnsi="Arial"/>
          <w:b/>
          <w:sz w:val="22"/>
        </w:rPr>
        <w:t>PATIENT</w:t>
      </w:r>
    </w:p>
    <w:tbl>
      <w:tblPr>
        <w:tblW w:type="auto" w:w="0"/>
        <w:tblLayout w:type="fixed"/>
        <w:tblLook w:firstColumn="1" w:firstRow="1" w:lastColumn="0" w:lastRow="0" w:noHBand="0" w:noVBand="1" w:val="04A0"/>
      </w:tblPr>
      <w:tblGrid>
        <w:gridCol w:w="2304"/>
        <w:gridCol w:w="7776"/>
      </w:tblGrid>
      <w:tr>
        <w:tc>
          <w:tcPr>
            <w:tcW w:type="dxa" w:w="2304"/>
          </w:tcPr>
          <w:p>
            <w:pPr>
              <w:spacing w:after="20"/>
            </w:pPr>
            <w:r>
              <w:rPr>
                <w:rFonts w:ascii="Arial" w:hAnsi="Arial"/>
                <w:b/>
                <w:sz w:val="20"/>
              </w:rPr>
              <w:t>Name</w:t>
            </w:r>
          </w:p>
        </w:tc>
        <w:tc>
          <w:tcPr>
            <w:tcW w:type="dxa" w:w="7776"/>
          </w:tcPr>
          <w:p>
            <w:pPr>
              <w:spacing w:after="20"/>
            </w:pPr>
            <w:r>
              <w:rPr>
                <w:rFonts w:ascii="Arial" w:hAnsi="Arial"/>
                <w:sz w:val="20"/>
              </w:rPr>
              <w:t>Ondina Vasquell</w:t>
            </w:r>
          </w:p>
        </w:tc>
      </w:tr>
      <w:tr>
        <w:tc>
          <w:tcPr>
            <w:tcW w:type="dxa" w:w="2304"/>
          </w:tcPr>
          <w:p>
            <w:pPr>
              <w:spacing w:after="20"/>
            </w:pPr>
            <w:r>
              <w:rPr>
                <w:rFonts w:ascii="Arial" w:hAnsi="Arial"/>
                <w:b/>
                <w:sz w:val="20"/>
              </w:rPr>
              <w:t>DOB</w:t>
            </w:r>
          </w:p>
        </w:tc>
        <w:tc>
          <w:tcPr>
            <w:tcW w:type="dxa" w:w="7776"/>
          </w:tcPr>
          <w:p>
            <w:pPr>
              <w:spacing w:after="20"/>
            </w:pPr>
            <w:r>
              <w:rPr>
                <w:rFonts w:ascii="Arial" w:hAnsi="Arial"/>
                <w:sz w:val="20"/>
              </w:rPr>
              <w:t>03/14/1958 (age 68)</w:t>
            </w:r>
          </w:p>
        </w:tc>
      </w:tr>
      <w:tr>
        <w:tc>
          <w:tcPr>
            <w:tcW w:type="dxa" w:w="2304"/>
          </w:tcPr>
          <w:p>
            <w:pPr>
              <w:spacing w:after="20"/>
            </w:pPr>
            <w:r>
              <w:rPr>
                <w:rFonts w:ascii="Arial" w:hAnsi="Arial"/>
                <w:b/>
                <w:sz w:val="20"/>
              </w:rPr>
              <w:t>Sex</w:t>
            </w:r>
          </w:p>
        </w:tc>
        <w:tc>
          <w:tcPr>
            <w:tcW w:type="dxa" w:w="7776"/>
          </w:tcPr>
          <w:p>
            <w:pPr>
              <w:spacing w:after="20"/>
            </w:pPr>
            <w:r>
              <w:rPr>
                <w:rFonts w:ascii="Arial" w:hAnsi="Arial"/>
                <w:sz w:val="20"/>
              </w:rPr>
              <w:t>Female</w:t>
            </w:r>
          </w:p>
        </w:tc>
      </w:tr>
      <w:tr>
        <w:tc>
          <w:tcPr>
            <w:tcW w:type="dxa" w:w="2304"/>
          </w:tcPr>
          <w:p>
            <w:pPr>
              <w:spacing w:after="20"/>
            </w:pPr>
            <w:r>
              <w:rPr>
                <w:rFonts w:ascii="Arial" w:hAnsi="Arial"/>
                <w:b/>
                <w:sz w:val="20"/>
              </w:rPr>
              <w:t>MRN</w:t>
            </w:r>
          </w:p>
        </w:tc>
        <w:tc>
          <w:tcPr>
            <w:tcW w:type="dxa" w:w="7776"/>
          </w:tcPr>
          <w:p>
            <w:pPr>
              <w:spacing w:after="20"/>
            </w:pPr>
            <w:r>
              <w:rPr>
                <w:rFonts w:ascii="Arial" w:hAnsi="Arial"/>
                <w:sz w:val="20"/>
              </w:rPr>
              <w:t>OV-3358104</w:t>
            </w:r>
          </w:p>
        </w:tc>
      </w:tr>
      <w:tr>
        <w:tc>
          <w:tcPr>
            <w:tcW w:type="dxa" w:w="2304"/>
          </w:tcPr>
          <w:p>
            <w:pPr>
              <w:spacing w:after="20"/>
            </w:pPr>
            <w:r>
              <w:rPr>
                <w:rFonts w:ascii="Arial" w:hAnsi="Arial"/>
                <w:b/>
                <w:sz w:val="20"/>
              </w:rPr>
              <w:t>Language</w:t>
            </w:r>
          </w:p>
        </w:tc>
        <w:tc>
          <w:tcPr>
            <w:tcW w:type="dxa" w:w="7776"/>
          </w:tcPr>
          <w:p>
            <w:pPr>
              <w:spacing w:after="20"/>
            </w:pPr>
            <w:r>
              <w:rPr>
                <w:rFonts w:ascii="Arial" w:hAnsi="Arial"/>
                <w:sz w:val="20"/>
              </w:rPr>
              <w:t>Spanish preferred (bilingual staff assisted)</w:t>
            </w:r>
          </w:p>
        </w:tc>
      </w:tr>
      <w:tr>
        <w:tc>
          <w:tcPr>
            <w:tcW w:type="dxa" w:w="2304"/>
          </w:tcPr>
          <w:p>
            <w:pPr>
              <w:spacing w:after="20"/>
            </w:pPr>
            <w:r>
              <w:rPr>
                <w:rFonts w:ascii="Arial" w:hAnsi="Arial"/>
                <w:b/>
                <w:sz w:val="20"/>
              </w:rPr>
              <w:t>Allergies</w:t>
            </w:r>
          </w:p>
        </w:tc>
        <w:tc>
          <w:tcPr>
            <w:tcW w:type="dxa" w:w="7776"/>
          </w:tcPr>
          <w:p>
            <w:pPr>
              <w:spacing w:after="20"/>
            </w:pPr>
            <w:r>
              <w:rPr>
                <w:rFonts w:ascii="Arial" w:hAnsi="Arial"/>
                <w:sz w:val="20"/>
              </w:rPr>
              <w:t>Sulfa (sulfonamide antibiotics) — rash</w:t>
            </w:r>
          </w:p>
        </w:tc>
      </w:tr>
    </w:tbl>
    <w:p>
      <w:pPr>
        <w:spacing w:before="200" w:after="60"/>
        <w:pBdr>
          <w:bottom w:val="single" w:sz="6" w:color="666666" w:space="1"/>
        </w:pBdr>
      </w:pPr>
      <w:r>
        <w:rPr>
          <w:rFonts w:ascii="Arial" w:hAnsi="Arial"/>
          <w:b/>
          <w:sz w:val="22"/>
        </w:rPr>
        <w:t>REFERRAL</w:t>
      </w:r>
    </w:p>
    <w:p>
      <w:pPr>
        <w:spacing w:before="0" w:after="40"/>
      </w:pPr>
      <w:r>
        <w:rPr>
          <w:rFonts w:ascii="Arial" w:hAnsi="Arial"/>
          <w:b/>
          <w:i w:val="0"/>
          <w:sz w:val="20"/>
        </w:rPr>
        <w:t xml:space="preserve">Referring Provider: </w:t>
      </w:r>
      <w:r>
        <w:rPr>
          <w:rFonts w:ascii="Arial" w:hAnsi="Arial"/>
          <w:b w:val="0"/>
          <w:i w:val="0"/>
          <w:sz w:val="20"/>
        </w:rPr>
        <w:t>Esmeralda Torres-Hidalgo, MD — Bayfront Community Internal Medicine, 915 Pelican Drive, Cypress Harbor, FL 33421</w:t>
      </w:r>
    </w:p>
    <w:p>
      <w:pPr>
        <w:spacing w:before="0" w:after="40"/>
      </w:pPr>
      <w:r>
        <w:rPr>
          <w:rFonts w:ascii="Arial" w:hAnsi="Arial"/>
          <w:b/>
          <w:i w:val="0"/>
          <w:sz w:val="20"/>
        </w:rPr>
        <w:t xml:space="preserve">Reason for Visit: </w:t>
      </w:r>
      <w:r>
        <w:rPr>
          <w:rFonts w:ascii="Arial" w:hAnsi="Arial"/>
          <w:b w:val="0"/>
          <w:i w:val="0"/>
          <w:sz w:val="20"/>
        </w:rPr>
        <w:t>Annual dilated diabetic eye exam.</w:t>
      </w:r>
    </w:p>
    <w:p>
      <w:pPr>
        <w:spacing w:before="200" w:after="60"/>
        <w:pBdr>
          <w:bottom w:val="single" w:sz="6" w:color="666666" w:space="1"/>
        </w:pBdr>
      </w:pPr>
      <w:r>
        <w:rPr>
          <w:rFonts w:ascii="Arial" w:hAnsi="Arial"/>
          <w:b/>
          <w:sz w:val="22"/>
        </w:rPr>
        <w:t>HISTORY</w:t>
      </w:r>
    </w:p>
    <w:p>
      <w:pPr>
        <w:spacing w:before="0" w:after="80"/>
      </w:pPr>
      <w:r>
        <w:rPr>
          <w:rFonts w:ascii="Arial" w:hAnsi="Arial"/>
          <w:b w:val="0"/>
          <w:i w:val="0"/>
          <w:sz w:val="20"/>
        </w:rPr>
        <w:t>68-year-old Hispanic woman with insulin-dependent type 2 diabetes mellitus, hypertension, and dyslipidemia, presenting for routine annual dilated diabetic surveillance referred by her primary care physician. The patient reports stable vision in both eyes without flashes, floaters, curtains, or sudden vision change. No prior intraocular surgery. No known prior diabetic retinopathy treatment.</w:t>
      </w:r>
    </w:p>
    <w:p>
      <w:pPr>
        <w:spacing w:before="200" w:after="60"/>
        <w:pBdr>
          <w:bottom w:val="single" w:sz="6" w:color="666666" w:space="1"/>
        </w:pBdr>
      </w:pPr>
      <w:r>
        <w:rPr>
          <w:rFonts w:ascii="Arial" w:hAnsi="Arial"/>
          <w:b/>
          <w:sz w:val="22"/>
        </w:rPr>
        <w:t>EXAMINATION</w:t>
      </w:r>
    </w:p>
    <w:p>
      <w:pPr>
        <w:spacing w:before="0" w:after="40"/>
      </w:pPr>
      <w:r>
        <w:rPr>
          <w:rFonts w:ascii="Arial" w:hAnsi="Arial"/>
          <w:b w:val="0"/>
          <w:i w:val="0"/>
          <w:sz w:val="20"/>
        </w:rPr>
        <w:t>Best-corrected distance visual acuity:</w:t>
      </w:r>
    </w:p>
    <w:p>
      <w:pPr>
        <w:pStyle w:val="ListBullet"/>
        <w:spacing w:after="20"/>
      </w:pPr>
      <w:r>
        <w:rPr>
          <w:rFonts w:ascii="Arial" w:hAnsi="Arial"/>
          <w:sz w:val="20"/>
        </w:rPr>
        <w:t>Right eye (OD): 20/30</w:t>
      </w:r>
    </w:p>
    <w:p>
      <w:pPr>
        <w:pStyle w:val="ListBullet"/>
        <w:spacing w:after="20"/>
      </w:pPr>
      <w:r>
        <w:rPr>
          <w:rFonts w:ascii="Arial" w:hAnsi="Arial"/>
          <w:sz w:val="20"/>
        </w:rPr>
        <w:t>Left eye (OS): 20/30</w:t>
      </w:r>
    </w:p>
    <w:p>
      <w:pPr>
        <w:spacing w:before="80" w:after="40"/>
      </w:pPr>
      <w:r>
        <w:rPr>
          <w:rFonts w:ascii="Arial" w:hAnsi="Arial"/>
          <w:b w:val="0"/>
          <w:i w:val="0"/>
          <w:sz w:val="20"/>
        </w:rPr>
        <w:t>Intraocular pressure (Goldmann applanation):</w:t>
      </w:r>
    </w:p>
    <w:p>
      <w:pPr>
        <w:pStyle w:val="ListBullet"/>
        <w:spacing w:after="20"/>
      </w:pPr>
      <w:r>
        <w:rPr>
          <w:rFonts w:ascii="Arial" w:hAnsi="Arial"/>
          <w:sz w:val="20"/>
        </w:rPr>
        <w:t>OD: 14 mmHg</w:t>
      </w:r>
    </w:p>
    <w:p>
      <w:pPr>
        <w:pStyle w:val="ListBullet"/>
        <w:spacing w:after="20"/>
      </w:pPr>
      <w:r>
        <w:rPr>
          <w:rFonts w:ascii="Arial" w:hAnsi="Arial"/>
          <w:sz w:val="20"/>
        </w:rPr>
        <w:t>OS: 15 mmHg</w:t>
      </w:r>
    </w:p>
    <w:p>
      <w:pPr>
        <w:spacing w:before="80" w:after="80"/>
      </w:pPr>
      <w:r>
        <w:rPr>
          <w:rFonts w:ascii="Arial" w:hAnsi="Arial"/>
          <w:b w:val="0"/>
          <w:i w:val="0"/>
          <w:sz w:val="20"/>
        </w:rPr>
        <w:t>Pupils equal, round, reactive to light; no afferent pupillary defect. Extraocular motility full. Anterior segment unremarkable bilaterally — lids and lashes clear, conjunctiva quiet, cornea clear, anterior chamber deep and quiet, iris flat, early nuclear sclerotic lens changes consistent with age, no rubeosis.</w:t>
      </w:r>
    </w:p>
    <w:p>
      <w:pPr>
        <w:spacing w:before="0" w:after="80"/>
      </w:pPr>
      <w:r>
        <w:rPr>
          <w:rFonts w:ascii="Arial" w:hAnsi="Arial"/>
          <w:b w:val="0"/>
          <w:i w:val="0"/>
          <w:sz w:val="20"/>
        </w:rPr>
        <w:t>Pupils were pharmacologically dilated bilaterally with tropicamide 1% and phenylephrine 2.5%. Dilated fundus examination was then performed on both eyes using slit-lamp biomicroscopy with a 90-D lens and binocular indirect ophthalmoscopy.</w:t>
      </w:r>
    </w:p>
    <w:p>
      <w:pPr>
        <w:spacing w:before="200" w:after="60"/>
        <w:pBdr>
          <w:bottom w:val="single" w:sz="6" w:color="666666" w:space="1"/>
        </w:pBdr>
      </w:pPr>
      <w:r>
        <w:rPr>
          <w:rFonts w:ascii="Arial" w:hAnsi="Arial"/>
          <w:b/>
          <w:sz w:val="22"/>
        </w:rPr>
        <w:t>DILATED FUNDUS FINDINGS</w:t>
      </w:r>
    </w:p>
    <w:p>
      <w:pPr>
        <w:spacing w:before="0" w:after="120"/>
      </w:pPr>
      <w:r>
        <w:rPr>
          <w:rFonts w:ascii="Arial" w:hAnsi="Arial"/>
          <w:b/>
          <w:i w:val="0"/>
          <w:sz w:val="20"/>
        </w:rPr>
        <w:t xml:space="preserve">Right eye (OD): </w:t>
      </w:r>
      <w:r>
        <w:rPr>
          <w:rFonts w:ascii="Arial" w:hAnsi="Arial"/>
          <w:b w:val="0"/>
          <w:i w:val="0"/>
          <w:sz w:val="20"/>
        </w:rPr>
        <w:t>Clear media. Optic nerve pink and sharp with healthy rim and cup-to-disc ratio approximately 0.3. Macula with intact foveal reflex; no clinically significant macular edema, no hard exudates within one disc diameter of the fovea, no intraretinal cysts. Vessels of normal caliber with no neovascularization at the disc and no neovascularization elsewhere. Periphery flat, no holes, tears, or detachment. Scattered microaneurysms and a few dot-blot hemorrhages identified in the posterior pole. Findings consistent with mild non-proliferative diabetic retinopathy. No macular edema. No proliferative disease.</w:t>
      </w:r>
    </w:p>
    <w:p>
      <w:pPr>
        <w:spacing w:before="0" w:after="80"/>
      </w:pPr>
      <w:r>
        <w:rPr>
          <w:rFonts w:ascii="Arial" w:hAnsi="Arial"/>
          <w:b/>
          <w:i w:val="0"/>
          <w:sz w:val="20"/>
        </w:rPr>
        <w:t xml:space="preserve">Left eye (OS): </w:t>
      </w:r>
      <w:r>
        <w:rPr>
          <w:rFonts w:ascii="Arial" w:hAnsi="Arial"/>
          <w:b w:val="0"/>
          <w:i w:val="0"/>
          <w:sz w:val="20"/>
        </w:rPr>
        <w:t>Clear media. Optic nerve pink and sharp with healthy rim and cup-to-disc ratio approximately 0.3. Macula with intact foveal reflex; no clinically significant macular edema, no hard exudates within one disc diameter of the fovea, no intraretinal cysts. Vessels of normal caliber with no neovascularization at the disc and no neovascularization elsewhere. Periphery flat, no holes, tears, or detachment. Similar scattered microaneurysms and dot-blot hemorrhages in the posterior pole. Findings consistent with mild non-proliferative diabetic retinopathy. No macular edema. No proliferative disease.</w:t>
      </w:r>
    </w:p>
    <w:p>
      <w:pPr>
        <w:spacing w:before="200" w:after="60"/>
        <w:pBdr>
          <w:bottom w:val="single" w:sz="6" w:color="666666" w:space="1"/>
        </w:pBdr>
      </w:pPr>
      <w:r>
        <w:rPr>
          <w:rFonts w:ascii="Arial" w:hAnsi="Arial"/>
          <w:b/>
          <w:sz w:val="22"/>
        </w:rPr>
        <w:t>ASSESSMENT</w:t>
      </w:r>
    </w:p>
    <w:p>
      <w:pPr>
        <w:spacing w:before="0" w:after="80"/>
      </w:pPr>
      <w:r>
        <w:rPr>
          <w:rFonts w:ascii="Arial" w:hAnsi="Arial"/>
          <w:b w:val="0"/>
          <w:i w:val="0"/>
          <w:sz w:val="20"/>
        </w:rPr>
        <w:t>Mild non-proliferative diabetic retinopathy bilaterally; no macular edema; no treatment indicated at this time.</w:t>
      </w:r>
    </w:p>
    <w:p>
      <w:pPr>
        <w:spacing w:before="200" w:after="60"/>
        <w:pBdr>
          <w:bottom w:val="single" w:sz="6" w:color="666666" w:space="1"/>
        </w:pBdr>
      </w:pPr>
      <w:r>
        <w:rPr>
          <w:rFonts w:ascii="Arial" w:hAnsi="Arial"/>
          <w:b/>
          <w:sz w:val="22"/>
        </w:rPr>
        <w:t>PLAN</w:t>
      </w:r>
    </w:p>
    <w:p>
      <w:pPr>
        <w:spacing w:after="40"/>
        <w:ind w:left="360" w:hanging="360"/>
      </w:pPr>
      <w:r>
        <w:rPr>
          <w:rFonts w:ascii="Arial" w:hAnsi="Arial"/>
          <w:sz w:val="20"/>
        </w:rPr>
        <w:t>1. Repeat dilated diabetic eye exam in 12 months; next due 03/15/2027.</w:t>
      </w:r>
    </w:p>
    <w:p>
      <w:pPr>
        <w:spacing w:after="40"/>
        <w:ind w:left="360" w:hanging="360"/>
      </w:pPr>
      <w:r>
        <w:rPr>
          <w:rFonts w:ascii="Arial" w:hAnsi="Arial"/>
          <w:sz w:val="20"/>
        </w:rPr>
        <w:t>2. Optimize glycemic and blood pressure control in coordination with primary care.</w:t>
      </w:r>
    </w:p>
    <w:p>
      <w:pPr>
        <w:spacing w:after="40"/>
        <w:ind w:left="360" w:hanging="360"/>
      </w:pPr>
      <w:r>
        <w:rPr>
          <w:rFonts w:ascii="Arial" w:hAnsi="Arial"/>
          <w:sz w:val="20"/>
        </w:rPr>
        <w:t>3. Counseled patient (with bilingual staff) on returning sooner for new floaters, flashes, sudden visual loss, or distortion.</w:t>
      </w:r>
    </w:p>
    <w:p>
      <w:pPr>
        <w:spacing w:after="40"/>
        <w:ind w:left="360" w:hanging="360"/>
      </w:pPr>
      <w:r>
        <w:rPr>
          <w:rFonts w:ascii="Arial" w:hAnsi="Arial"/>
          <w:sz w:val="20"/>
        </w:rPr>
        <w:t>4. Result and findings communicated to patient; copy of this report transmitted to referring primary care physician, Esmeralda Torres-Hidalgo, MD.</w:t>
      </w:r>
    </w:p>
    <w:p>
      <w:pPr>
        <w:spacing w:before="40" w:after="40"/>
        <w:pBdr>
          <w:bottom w:val="single" w:sz="6" w:color="000000" w:space="1"/>
        </w:pBdr>
      </w:pPr>
    </w:p>
    <w:p>
      <w:pPr>
        <w:spacing w:before="80" w:after="40"/>
      </w:pPr>
      <w:r>
        <w:rPr>
          <w:rFonts w:ascii="Arial" w:hAnsi="Arial"/>
          <w:b w:val="0"/>
          <w:i/>
          <w:sz w:val="20"/>
        </w:rPr>
        <w:t>Electronically signed:</w:t>
      </w:r>
    </w:p>
    <w:p>
      <w:pPr>
        <w:spacing w:before="0" w:after="0"/>
      </w:pPr>
      <w:r>
        <w:rPr>
          <w:rFonts w:ascii="Arial" w:hAnsi="Arial"/>
          <w:b/>
          <w:i w:val="0"/>
          <w:sz w:val="20"/>
        </w:rPr>
        <w:t>Sergio Maldonado, OD</w:t>
      </w:r>
    </w:p>
    <w:p>
      <w:pPr>
        <w:spacing w:before="0" w:after="0"/>
      </w:pPr>
      <w:r>
        <w:rPr>
          <w:rFonts w:ascii="Arial" w:hAnsi="Arial"/>
          <w:b w:val="0"/>
          <w:i w:val="0"/>
          <w:sz w:val="20"/>
        </w:rPr>
        <w:t>Harbor Vista Eye Care</w:t>
      </w:r>
    </w:p>
    <w:p>
      <w:pPr>
        <w:spacing w:before="0" w:after="0"/>
      </w:pPr>
      <w:r>
        <w:rPr>
          <w:rFonts w:ascii="Arial" w:hAnsi="Arial"/>
          <w:b w:val="0"/>
          <w:i w:val="0"/>
          <w:sz w:val="20"/>
        </w:rPr>
        <w:t>330 Mariners Bay Boulevard, Suite 4B, Cypress Harbor, FL 33421</w:t>
      </w:r>
    </w:p>
    <w:p>
      <w:pPr>
        <w:spacing w:before="0" w:after="0"/>
      </w:pPr>
      <w:r>
        <w:rPr>
          <w:rFonts w:ascii="Arial" w:hAnsi="Arial"/>
          <w:b w:val="0"/>
          <w:i w:val="0"/>
          <w:sz w:val="20"/>
        </w:rPr>
        <w:t>(561) 555-0902</w:t>
      </w:r>
    </w:p>
    <w:p>
      <w:pPr>
        <w:spacing w:before="0" w:after="120"/>
      </w:pPr>
      <w:r>
        <w:rPr>
          <w:rFonts w:ascii="Arial" w:hAnsi="Arial"/>
          <w:b w:val="0"/>
          <w:i w:val="0"/>
          <w:sz w:val="20"/>
        </w:rPr>
        <w:t>03/15/2026</w:t>
      </w:r>
    </w:p>
    <w:p>
      <w:pPr>
        <w:spacing w:before="80" w:after="40"/>
      </w:pPr>
      <w:r>
        <w:rPr>
          <w:rFonts w:ascii="Arial" w:hAnsi="Arial"/>
          <w:b w:val="0"/>
          <w:i/>
          <w:sz w:val="18"/>
        </w:rPr>
        <w:t>cc: Esmeralda Torres-Hidalgo, MD — Bayfront Community Internal Medicine (fax (561) 555-0824)</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