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654"/>
        <w:gridCol w:w="2551"/>
      </w:tblGrid>
      <w:tr>
        <w:tc>
          <w:tcPr>
            <w:tcW w:type="dxa" w:w="7654"/>
            <w:tcBorders>
              <w:top w:val="nil"/>
              <w:left w:val="nil"/>
              <w:bottom w:val="nil"/>
              <w:right w:val="nil"/>
              <w:bottom w:val="single" w:sz="6" w:color="808080"/>
            </w:tcBorders>
          </w:tcPr>
          <w:p>
            <w:pPr>
              <w:spacing w:after="0"/>
            </w:pPr>
            <w:r>
              <w:rPr>
                <w:rFonts w:ascii="Arial" w:hAnsi="Arial"/>
                <w:b/>
                <w:i w:val="0"/>
                <w:sz w:val="22"/>
              </w:rPr>
              <w:t>Harbor Crest Regional Medical Center</w:t>
            </w:r>
          </w:p>
          <w:p>
            <w:pPr>
              <w:spacing w:after="0"/>
            </w:pPr>
            <w:r>
              <w:rPr>
                <w:rFonts w:ascii="Arial" w:hAnsi="Arial"/>
                <w:b w:val="0"/>
                <w:i w:val="0"/>
                <w:sz w:val="16"/>
              </w:rPr>
              <w:t>Department of Radiology — Musculoskeletal Imaging</w:t>
            </w:r>
          </w:p>
          <w:p>
            <w:pPr>
              <w:spacing w:after="0"/>
            </w:pPr>
            <w:r>
              <w:rPr>
                <w:rFonts w:ascii="Arial" w:hAnsi="Arial"/>
                <w:b w:val="0"/>
                <w:i w:val="0"/>
                <w:sz w:val="16"/>
              </w:rPr>
              <w:t>2400 Mariners Bay Boulevard, Cypress Harbor, FL 33421   Main: (561) 555-0100</w:t>
            </w:r>
          </w:p>
        </w:tc>
        <w:tc>
          <w:tcPr>
            <w:tcW w:type="dxa" w:w="2551"/>
            <w:tcBorders>
              <w:top w:val="nil"/>
              <w:left w:val="nil"/>
              <w:bottom w:val="nil"/>
              <w:right w:val="nil"/>
              <w:bottom w:val="single" w:sz="6" w:color="808080"/>
            </w:tcBorders>
          </w:tcPr>
          <w:p>
            <w:pPr>
              <w:spacing w:after="0"/>
              <w:jc w:val="right"/>
            </w:pPr>
            <w:r>
              <w:rPr>
                <w:rFonts w:ascii="Arial" w:hAnsi="Arial"/>
                <w:b/>
                <w:i w:val="0"/>
                <w:sz w:val="17"/>
              </w:rPr>
              <w:t>Confidential</w:t>
            </w:r>
          </w:p>
          <w:p>
            <w:pPr>
              <w:spacing w:after="0"/>
              <w:jc w:val="right"/>
            </w:pPr>
            <w:r>
              <w:rPr>
                <w:rFonts w:ascii="Arial" w:hAnsi="Arial"/>
                <w:b w:val="0"/>
                <w:i w:val="0"/>
                <w:sz w:val="16"/>
              </w:rPr>
              <w:t>Page 1 of 1</w:t>
            </w:r>
          </w:p>
        </w:tc>
      </w:tr>
    </w:tbl>
    <w:p>
      <w:pPr>
        <w:spacing w:before="0" w:after="40"/>
      </w:pPr>
    </w:p>
    <w:tbl>
      <w:tblPr>
        <w:tblW w:type="auto" w:w="0"/>
        <w:tblLayout w:type="fixed"/>
        <w:tblLook w:firstColumn="1" w:firstRow="1" w:lastColumn="0" w:lastRow="0" w:noHBand="0" w:noVBand="1" w:val="04A0"/>
      </w:tblPr>
      <w:tblGrid>
        <w:gridCol w:w="3402"/>
        <w:gridCol w:w="2268"/>
        <w:gridCol w:w="2268"/>
        <w:gridCol w:w="2268"/>
      </w:tblGrid>
      <w:tr>
        <w:tc>
          <w:tcPr>
            <w:tcW w:type="dxa" w:w="7938"/>
            <w:gridSpan w:val="3"/>
            <w:tcBorders>
              <w:top w:val="single" w:sz="4" w:color="A6A6A6"/>
              <w:left w:val="single" w:sz="4" w:color="A6A6A6"/>
              <w:bottom w:val="single" w:sz="4" w:color="A6A6A6"/>
              <w:right w:val="single" w:sz="4" w:color="A6A6A6"/>
              <w:top w:val="single" w:sz="4" w:color="A6A6A6"/>
              <w:left w:val="single" w:sz="4" w:color="A6A6A6"/>
              <w:bottom w:val="single" w:sz="4" w:color="A6A6A6"/>
              <w:right w:val="single" w:sz="4" w:color="A6A6A6"/>
              <w:top w:val="single" w:sz="4" w:color="A6A6A6"/>
              <w:left w:val="single" w:sz="4" w:color="A6A6A6"/>
              <w:bottom w:val="single" w:sz="4" w:color="A6A6A6"/>
              <w:right w:val="single" w:sz="4" w:color="A6A6A6"/>
            </w:tcBorders>
          </w:tcPr>
          <w:p>
            <w:pPr>
              <w:spacing w:after="0"/>
            </w:pPr>
            <w:r>
              <w:rPr>
                <w:rFonts w:ascii="Arial" w:hAnsi="Arial"/>
                <w:b/>
                <w:i w:val="0"/>
                <w:sz w:val="26"/>
              </w:rPr>
              <w:t>Ondina Vasquell</w:t>
            </w:r>
            <w:r>
              <w:rPr>
                <w:rFonts w:ascii="Arial" w:hAnsi="Arial"/>
                <w:b w:val="0"/>
                <w:i w:val="0"/>
                <w:sz w:val="18"/>
              </w:rPr>
              <w:t xml:space="preserve">    68 y  |  Female  |  DOB 03/14/1958</w:t>
            </w:r>
          </w:p>
        </w:tc>
        <w:tc>
          <w:tcPr>
            <w:tcW w:type="dxa" w:w="2268"/>
            <w:tcBorders>
              <w:top w:val="single" w:sz="4" w:color="A6A6A6"/>
              <w:left w:val="single" w:sz="4" w:color="A6A6A6"/>
              <w:bottom w:val="single" w:sz="4" w:color="A6A6A6"/>
              <w:right w:val="single" w:sz="4" w:color="A6A6A6"/>
            </w:tcBorders>
          </w:tcPr>
          <w:p>
            <w:pPr>
              <w:spacing w:after="0"/>
              <w:jc w:val="right"/>
            </w:pPr>
            <w:r>
              <w:rPr>
                <w:rFonts w:ascii="Arial" w:hAnsi="Arial"/>
                <w:b/>
                <w:i w:val="0"/>
                <w:sz w:val="20"/>
              </w:rPr>
              <w:t>MRN OV-3358104</w:t>
            </w:r>
          </w:p>
          <w:p>
            <w:pPr>
              <w:spacing w:after="0"/>
              <w:jc w:val="right"/>
            </w:pPr>
            <w:r>
              <w:rPr>
                <w:rFonts w:ascii="Arial" w:hAnsi="Arial"/>
                <w:b w:val="0"/>
                <w:i w:val="0"/>
                <w:sz w:val="18"/>
              </w:rPr>
              <w:t>FIN-2207733</w:t>
            </w:r>
          </w:p>
        </w:tc>
      </w:tr>
      <w:tr>
        <w:tc>
          <w:tcPr>
            <w:tcW w:type="dxa" w:w="3402"/>
            <w:shd w:val="clear" w:color="auto" w:fill="F2F2F2"/>
            <w:tcBorders>
              <w:top w:val="single" w:sz="4" w:color="A6A6A6"/>
              <w:left w:val="single" w:sz="4" w:color="A6A6A6"/>
              <w:bottom w:val="single" w:sz="4" w:color="A6A6A6"/>
              <w:right w:val="single" w:sz="4" w:color="A6A6A6"/>
            </w:tcBorders>
          </w:tcPr>
          <w:p>
            <w:pPr>
              <w:spacing w:after="0"/>
            </w:pPr>
            <w:r>
              <w:rPr>
                <w:rFonts w:ascii="Arial" w:hAnsi="Arial"/>
                <w:b/>
                <w:i w:val="0"/>
                <w:sz w:val="14"/>
              </w:rPr>
              <w:t>Date of Service</w:t>
            </w:r>
          </w:p>
          <w:p>
            <w:pPr>
              <w:spacing w:after="0"/>
            </w:pPr>
            <w:r>
              <w:rPr>
                <w:rFonts w:ascii="Arial" w:hAnsi="Arial"/>
                <w:b w:val="0"/>
                <w:i w:val="0"/>
                <w:sz w:val="16"/>
              </w:rPr>
              <w:t>05/18/2026</w:t>
            </w:r>
          </w:p>
        </w:tc>
        <w:tc>
          <w:tcPr>
            <w:tcW w:type="dxa" w:w="2268"/>
            <w:shd w:val="clear" w:color="auto" w:fill="F2F2F2"/>
            <w:tcBorders>
              <w:top w:val="single" w:sz="4" w:color="A6A6A6"/>
              <w:left w:val="single" w:sz="4" w:color="A6A6A6"/>
              <w:bottom w:val="single" w:sz="4" w:color="A6A6A6"/>
              <w:right w:val="single" w:sz="4" w:color="A6A6A6"/>
            </w:tcBorders>
          </w:tcPr>
          <w:p>
            <w:pPr>
              <w:spacing w:after="0"/>
            </w:pPr>
            <w:r>
              <w:rPr>
                <w:rFonts w:ascii="Arial" w:hAnsi="Arial"/>
                <w:b/>
                <w:i w:val="0"/>
                <w:sz w:val="14"/>
              </w:rPr>
              <w:t>Author</w:t>
            </w:r>
          </w:p>
          <w:p>
            <w:pPr>
              <w:spacing w:after="0"/>
            </w:pPr>
            <w:r>
              <w:rPr>
                <w:rFonts w:ascii="Arial" w:hAnsi="Arial"/>
                <w:b w:val="0"/>
                <w:i w:val="0"/>
                <w:sz w:val="16"/>
              </w:rPr>
              <w:t>A. Khatri, MD</w:t>
            </w:r>
          </w:p>
        </w:tc>
        <w:tc>
          <w:tcPr>
            <w:tcW w:type="dxa" w:w="2268"/>
            <w:shd w:val="clear" w:color="auto" w:fill="F2F2F2"/>
            <w:tcBorders>
              <w:top w:val="single" w:sz="4" w:color="A6A6A6"/>
              <w:left w:val="single" w:sz="4" w:color="A6A6A6"/>
              <w:bottom w:val="single" w:sz="4" w:color="A6A6A6"/>
              <w:right w:val="single" w:sz="4" w:color="A6A6A6"/>
            </w:tcBorders>
          </w:tcPr>
          <w:p>
            <w:pPr>
              <w:spacing w:after="0"/>
            </w:pPr>
            <w:r>
              <w:rPr>
                <w:rFonts w:ascii="Arial" w:hAnsi="Arial"/>
                <w:b/>
                <w:i w:val="0"/>
                <w:sz w:val="14"/>
              </w:rPr>
              <w:t>Allergies</w:t>
            </w:r>
          </w:p>
          <w:p>
            <w:pPr>
              <w:spacing w:after="0"/>
            </w:pPr>
            <w:r>
              <w:rPr>
                <w:rFonts w:ascii="Arial" w:hAnsi="Arial"/>
                <w:b w:val="0"/>
                <w:i w:val="0"/>
                <w:sz w:val="16"/>
              </w:rPr>
              <w:t>Sulfa (sulfonamide antibiotics) — rash</w:t>
            </w:r>
          </w:p>
        </w:tc>
        <w:tc>
          <w:tcPr>
            <w:tcW w:type="dxa" w:w="2268"/>
            <w:shd w:val="clear" w:color="auto" w:fill="F2F2F2"/>
            <w:tcBorders>
              <w:top w:val="single" w:sz="4" w:color="A6A6A6"/>
              <w:left w:val="single" w:sz="4" w:color="A6A6A6"/>
              <w:bottom w:val="single" w:sz="4" w:color="A6A6A6"/>
              <w:right w:val="single" w:sz="4" w:color="A6A6A6"/>
            </w:tcBorders>
          </w:tcPr>
          <w:p>
            <w:pPr>
              <w:spacing w:after="0"/>
            </w:pPr>
            <w:r>
              <w:rPr>
                <w:rFonts w:ascii="Arial" w:hAnsi="Arial"/>
                <w:b/>
                <w:i w:val="0"/>
                <w:sz w:val="14"/>
              </w:rPr>
              <w:t>Document</w:t>
            </w:r>
          </w:p>
          <w:p>
            <w:pPr>
              <w:spacing w:after="0"/>
            </w:pPr>
            <w:r>
              <w:rPr>
                <w:rFonts w:ascii="Arial" w:hAnsi="Arial"/>
                <w:b w:val="0"/>
                <w:i w:val="0"/>
                <w:sz w:val="16"/>
              </w:rPr>
              <w:t>IMAGING REPORT</w:t>
            </w:r>
          </w:p>
        </w:tc>
      </w:tr>
    </w:tbl>
    <w:p>
      <w:pPr>
        <w:spacing w:before="0" w:after="80"/>
      </w:pPr>
    </w:p>
    <w:p>
      <w:pPr>
        <w:spacing w:before="40" w:after="40"/>
      </w:pPr>
      <w:r>
        <w:rPr>
          <w:rFonts w:ascii="Arial" w:hAnsi="Arial"/>
          <w:b/>
          <w:i w:val="0"/>
          <w:sz w:val="28"/>
        </w:rPr>
        <w:t>MRI LEFT FOOT WITHOUT AND WITH CONTRAST</w:t>
      </w:r>
    </w:p>
    <w:p>
      <w:pPr>
        <w:spacing w:before="0" w:after="120"/>
      </w:pPr>
      <w:r>
        <w:rPr>
          <w:rFonts w:ascii="Arial" w:hAnsi="Arial"/>
          <w:b w:val="0"/>
          <w:i w:val="0"/>
          <w:sz w:val="16"/>
        </w:rPr>
        <w:t>Author: A. Khatri, MD — Musculoskeletal  |  Date of Service: 05/18/2026 15:42  |  Status: FINAL  |  Accession: HCR-IMG-05181844</w:t>
      </w:r>
    </w:p>
    <w:p>
      <w:pPr>
        <w:spacing w:before="160" w:after="40"/>
      </w:pPr>
      <w:r>
        <w:rPr>
          <w:rFonts w:ascii="Arial" w:hAnsi="Arial"/>
          <w:b/>
          <w:i w:val="0"/>
          <w:sz w:val="20"/>
        </w:rPr>
        <w:t>PATIENT / ENCOUNTER</w:t>
      </w:r>
    </w:p>
    <w:p>
      <w:pPr>
        <w:spacing w:before="0" w:after="20"/>
      </w:pPr>
      <w:r>
        <w:rPr>
          <w:rFonts w:ascii="Arial" w:hAnsi="Arial"/>
          <w:b/>
          <w:i w:val="0"/>
          <w:sz w:val="18"/>
        </w:rPr>
        <w:t xml:space="preserve">Patient: </w:t>
      </w:r>
      <w:r>
        <w:rPr>
          <w:rFonts w:ascii="Arial" w:hAnsi="Arial"/>
          <w:b w:val="0"/>
          <w:i w:val="0"/>
          <w:sz w:val="18"/>
        </w:rPr>
        <w:t>Ondina Vasquell, 68 y</w:t>
      </w:r>
    </w:p>
    <w:p>
      <w:pPr>
        <w:spacing w:before="0" w:after="20"/>
      </w:pPr>
      <w:r>
        <w:rPr>
          <w:rFonts w:ascii="Arial" w:hAnsi="Arial"/>
          <w:b/>
          <w:i w:val="0"/>
          <w:sz w:val="18"/>
        </w:rPr>
        <w:t xml:space="preserve">Sex / DOB: </w:t>
      </w:r>
      <w:r>
        <w:rPr>
          <w:rFonts w:ascii="Arial" w:hAnsi="Arial"/>
          <w:b w:val="0"/>
          <w:i w:val="0"/>
          <w:sz w:val="18"/>
        </w:rPr>
        <w:t>Female / 03/14/1958</w:t>
      </w:r>
    </w:p>
    <w:p>
      <w:pPr>
        <w:spacing w:before="0" w:after="20"/>
      </w:pPr>
      <w:r>
        <w:rPr>
          <w:rFonts w:ascii="Arial" w:hAnsi="Arial"/>
          <w:b/>
          <w:i w:val="0"/>
          <w:sz w:val="18"/>
        </w:rPr>
        <w:t xml:space="preserve">MRN / FIN: </w:t>
      </w:r>
      <w:r>
        <w:rPr>
          <w:rFonts w:ascii="Arial" w:hAnsi="Arial"/>
          <w:b w:val="0"/>
          <w:i w:val="0"/>
          <w:sz w:val="18"/>
        </w:rPr>
        <w:t>OV-3358104 / FIN-2207733</w:t>
      </w:r>
    </w:p>
    <w:p>
      <w:pPr>
        <w:spacing w:before="0" w:after="20"/>
      </w:pPr>
      <w:r>
        <w:rPr>
          <w:rFonts w:ascii="Arial" w:hAnsi="Arial"/>
          <w:b/>
          <w:i w:val="0"/>
          <w:sz w:val="18"/>
        </w:rPr>
        <w:t xml:space="preserve">Unit / Room: </w:t>
      </w:r>
      <w:r>
        <w:rPr>
          <w:rFonts w:ascii="Arial" w:hAnsi="Arial"/>
          <w:b w:val="0"/>
          <w:i w:val="0"/>
          <w:sz w:val="18"/>
        </w:rPr>
        <w:t>6 South Medicine / 6S-214</w:t>
      </w:r>
    </w:p>
    <w:p>
      <w:pPr>
        <w:spacing w:before="0" w:after="20"/>
      </w:pPr>
      <w:r>
        <w:rPr>
          <w:rFonts w:ascii="Arial" w:hAnsi="Arial"/>
          <w:b/>
          <w:i w:val="0"/>
          <w:sz w:val="18"/>
        </w:rPr>
        <w:t xml:space="preserve">Code Status: </w:t>
      </w:r>
      <w:r>
        <w:rPr>
          <w:rFonts w:ascii="Arial" w:hAnsi="Arial"/>
          <w:b w:val="0"/>
          <w:i w:val="0"/>
          <w:sz w:val="18"/>
        </w:rPr>
        <w:t>Full Code</w:t>
      </w:r>
    </w:p>
    <w:p>
      <w:pPr>
        <w:spacing w:before="0" w:after="20"/>
      </w:pPr>
      <w:r>
        <w:rPr>
          <w:rFonts w:ascii="Arial" w:hAnsi="Arial"/>
          <w:b/>
          <w:i w:val="0"/>
          <w:sz w:val="18"/>
        </w:rPr>
        <w:t xml:space="preserve">Allergies: </w:t>
      </w:r>
      <w:r>
        <w:rPr>
          <w:rFonts w:ascii="Arial" w:hAnsi="Arial"/>
          <w:b w:val="0"/>
          <w:i w:val="0"/>
          <w:sz w:val="18"/>
        </w:rPr>
        <w:t>Sulfa (sulfonamide antibiotics) — rash</w:t>
      </w:r>
    </w:p>
    <w:p>
      <w:pPr>
        <w:spacing w:before="0" w:after="20"/>
      </w:pPr>
      <w:r>
        <w:rPr>
          <w:rFonts w:ascii="Arial" w:hAnsi="Arial"/>
          <w:b/>
          <w:i w:val="0"/>
          <w:sz w:val="18"/>
        </w:rPr>
        <w:t xml:space="preserve">Language: </w:t>
      </w:r>
      <w:r>
        <w:rPr>
          <w:rFonts w:ascii="Arial" w:hAnsi="Arial"/>
          <w:b w:val="0"/>
          <w:i w:val="0"/>
          <w:sz w:val="18"/>
        </w:rPr>
        <w:t>Spanish preferred (interpreter used)</w:t>
      </w:r>
    </w:p>
    <w:p>
      <w:pPr>
        <w:spacing w:before="0" w:after="20"/>
      </w:pPr>
      <w:r>
        <w:rPr>
          <w:rFonts w:ascii="Arial" w:hAnsi="Arial"/>
          <w:b/>
          <w:i w:val="0"/>
          <w:sz w:val="18"/>
        </w:rPr>
        <w:t xml:space="preserve">Attending of Record: </w:t>
      </w:r>
      <w:r>
        <w:rPr>
          <w:rFonts w:ascii="Arial" w:hAnsi="Arial"/>
          <w:b w:val="0"/>
          <w:i w:val="0"/>
          <w:sz w:val="18"/>
        </w:rPr>
        <w:t>Lillian Everet, MD — Hospital Medicine</w:t>
      </w:r>
    </w:p>
    <w:p>
      <w:pPr>
        <w:spacing w:before="0" w:after="20"/>
      </w:pPr>
      <w:r>
        <w:rPr>
          <w:rFonts w:ascii="Arial" w:hAnsi="Arial"/>
          <w:b/>
          <w:i w:val="0"/>
          <w:sz w:val="18"/>
        </w:rPr>
        <w:t xml:space="preserve">Ordering Clinician: </w:t>
      </w:r>
      <w:r>
        <w:rPr>
          <w:rFonts w:ascii="Arial" w:hAnsi="Arial"/>
          <w:b w:val="0"/>
          <w:i w:val="0"/>
          <w:sz w:val="18"/>
        </w:rPr>
        <w:t>Lillian Everet, MD</w:t>
      </w:r>
    </w:p>
    <w:p>
      <w:pPr>
        <w:spacing w:before="0" w:after="20"/>
      </w:pPr>
      <w:r>
        <w:rPr>
          <w:rFonts w:ascii="Arial" w:hAnsi="Arial"/>
          <w:b/>
          <w:i w:val="0"/>
          <w:sz w:val="18"/>
        </w:rPr>
        <w:t xml:space="preserve">Ordering Service: </w:t>
      </w:r>
      <w:r>
        <w:rPr>
          <w:rFonts w:ascii="Arial" w:hAnsi="Arial"/>
          <w:b w:val="0"/>
          <w:i w:val="0"/>
          <w:sz w:val="18"/>
        </w:rPr>
        <w:t>Hospital Medicine</w:t>
      </w:r>
    </w:p>
    <w:p>
      <w:pPr>
        <w:spacing w:before="160" w:after="40"/>
      </w:pPr>
      <w:r>
        <w:rPr>
          <w:rFonts w:ascii="Arial" w:hAnsi="Arial"/>
          <w:b/>
          <w:i w:val="0"/>
          <w:sz w:val="20"/>
        </w:rPr>
        <w:t>ORDER DETAILS</w:t>
      </w:r>
    </w:p>
    <w:tbl>
      <w:tblPr>
        <w:tblW w:type="auto" w:w="0"/>
        <w:tblLayout w:type="fixed"/>
        <w:tblLook w:firstColumn="1" w:firstRow="1" w:lastColumn="0" w:lastRow="0" w:noHBand="0" w:noVBand="1" w:val="04A0"/>
      </w:tblPr>
      <w:tblGrid>
        <w:gridCol w:w="2835"/>
        <w:gridCol w:w="7370"/>
      </w:tblGrid>
      <w:tr>
        <w:tc>
          <w:tcPr>
            <w:tcW w:type="dxa" w:w="2835"/>
            <w:shd w:val="clear" w:color="auto" w:fill="E7E7E7"/>
            <w:tcBorders>
              <w:top w:val="single" w:sz="4" w:color="A6A6A6"/>
              <w:left w:val="single" w:sz="4" w:color="A6A6A6"/>
              <w:bottom w:val="single" w:sz="4" w:color="A6A6A6"/>
              <w:right w:val="single" w:sz="4" w:color="A6A6A6"/>
            </w:tcBorders>
          </w:tcPr>
          <w:p>
            <w:pPr>
              <w:spacing w:after="0"/>
            </w:pPr>
            <w:r>
              <w:rPr>
                <w:rFonts w:ascii="Arial" w:hAnsi="Arial"/>
                <w:b/>
                <w:i w:val="0"/>
                <w:sz w:val="16"/>
              </w:rPr>
              <w:t>Field</w:t>
            </w:r>
          </w:p>
        </w:tc>
        <w:tc>
          <w:tcPr>
            <w:tcW w:type="dxa" w:w="7370"/>
            <w:shd w:val="clear" w:color="auto" w:fill="E7E7E7"/>
            <w:tcBorders>
              <w:top w:val="single" w:sz="4" w:color="A6A6A6"/>
              <w:left w:val="single" w:sz="4" w:color="A6A6A6"/>
              <w:bottom w:val="single" w:sz="4" w:color="A6A6A6"/>
              <w:right w:val="single" w:sz="4" w:color="A6A6A6"/>
            </w:tcBorders>
          </w:tcPr>
          <w:p>
            <w:pPr>
              <w:spacing w:after="0"/>
            </w:pPr>
            <w:r>
              <w:rPr>
                <w:rFonts w:ascii="Arial" w:hAnsi="Arial"/>
                <w:b/>
                <w:i w:val="0"/>
                <w:sz w:val="16"/>
              </w:rPr>
              <w:t>Value</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Exam</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MRI left foot without and with contrast</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Accession</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HCR-IMG-05181844</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Ordering service</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Hospital Medicine</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Ordering clinician</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Lillian Everet, MD</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Reason for exam</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Diabetic foot ulcer left forefoot, evaluate for osteomyelitis and abscess</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Exam started</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05/18/2026 15:42</w:t>
            </w:r>
          </w:p>
        </w:tc>
      </w:tr>
      <w:tr>
        <w:tc>
          <w:tcPr>
            <w:tcW w:type="dxa" w:w="2835"/>
            <w:tcBorders>
              <w:top w:val="single" w:sz="4" w:color="A6A6A6"/>
              <w:left w:val="single" w:sz="4" w:color="A6A6A6"/>
              <w:bottom w:val="single" w:sz="4" w:color="A6A6A6"/>
              <w:right w:val="single" w:sz="4" w:color="A6A6A6"/>
            </w:tcBorders>
          </w:tcPr>
          <w:p>
            <w:pPr>
              <w:spacing w:after="0"/>
            </w:pPr>
            <w:r>
              <w:rPr>
                <w:rFonts w:ascii="Arial" w:hAnsi="Arial"/>
                <w:b w:val="0"/>
                <w:i w:val="0"/>
                <w:sz w:val="16"/>
              </w:rPr>
              <w:t>Report finalized</w:t>
            </w:r>
          </w:p>
        </w:tc>
        <w:tc>
          <w:tcPr>
            <w:tcW w:type="dxa" w:w="7370"/>
            <w:tcBorders>
              <w:top w:val="single" w:sz="4" w:color="A6A6A6"/>
              <w:left w:val="single" w:sz="4" w:color="A6A6A6"/>
              <w:bottom w:val="single" w:sz="4" w:color="A6A6A6"/>
              <w:right w:val="single" w:sz="4" w:color="A6A6A6"/>
            </w:tcBorders>
          </w:tcPr>
          <w:p>
            <w:pPr>
              <w:spacing w:after="0"/>
            </w:pPr>
            <w:r>
              <w:rPr>
                <w:rFonts w:ascii="Arial" w:hAnsi="Arial"/>
                <w:b w:val="0"/>
                <w:i w:val="0"/>
                <w:sz w:val="16"/>
              </w:rPr>
              <w:t>05/18/2026 17:05</w:t>
            </w:r>
          </w:p>
        </w:tc>
      </w:tr>
    </w:tbl>
    <w:p>
      <w:pPr>
        <w:spacing w:before="160" w:after="40"/>
      </w:pPr>
      <w:r>
        <w:rPr>
          <w:rFonts w:ascii="Arial" w:hAnsi="Arial"/>
          <w:b/>
          <w:i w:val="0"/>
          <w:sz w:val="20"/>
        </w:rPr>
        <w:t>INDICATION</w:t>
      </w:r>
    </w:p>
    <w:p>
      <w:pPr>
        <w:spacing w:before="0" w:after="80"/>
      </w:pPr>
      <w:r>
        <w:rPr>
          <w:rFonts w:ascii="Arial" w:hAnsi="Arial"/>
          <w:b w:val="0"/>
          <w:i w:val="0"/>
          <w:sz w:val="19"/>
        </w:rPr>
        <w:t>Diabetic foot ulcer left forefoot, evaluate for osteomyelitis and abscess. Patient is hospitalized on 6 South Medicine for limb-threatening left diabetic foot infection with a plantar forefoot ulcer over the first to second metatarsal head. Bedside debridement performed by podiatry on 05/17/2026; no exposed bone identified at that time. Empiric vancomycin and piperacillin-tazobactam in effect. Imaging requested to assess for osseous involvement and any drainable deep collection.</w:t>
      </w:r>
    </w:p>
    <w:p>
      <w:pPr>
        <w:spacing w:before="160" w:after="40"/>
      </w:pPr>
      <w:r>
        <w:rPr>
          <w:rFonts w:ascii="Arial" w:hAnsi="Arial"/>
          <w:b/>
          <w:i w:val="0"/>
          <w:sz w:val="20"/>
        </w:rPr>
        <w:t>TECHNIQUE</w:t>
      </w:r>
    </w:p>
    <w:p>
      <w:pPr>
        <w:spacing w:before="0" w:after="80"/>
      </w:pPr>
      <w:r>
        <w:rPr>
          <w:rFonts w:ascii="Arial" w:hAnsi="Arial"/>
          <w:b w:val="0"/>
          <w:i w:val="0"/>
          <w:sz w:val="19"/>
        </w:rPr>
        <w:t>MRI left foot without and with limited renally cautious gadolinium contrast given CKD 3b. Multiplanar, multisequence acquisition obtained on a 1.5T magnet using a dedicated extremity coil. Sequences include sagittal and axial T1, sagittal and axial fluid-sensitive fat-saturated (STIR / T2 FS), and post-contrast axial and sagittal T1 fat-saturated images. Contrast volume minimized in consultation with the ordering service in view of baseline chronic kidney disease stage 3b; renal-safe macrocyclic agent administered intravenously. Patient tolerated the examination without immediate adverse reaction.</w:t>
      </w:r>
    </w:p>
    <w:p>
      <w:pPr>
        <w:spacing w:before="160" w:after="40"/>
      </w:pPr>
      <w:r>
        <w:rPr>
          <w:rFonts w:ascii="Arial" w:hAnsi="Arial"/>
          <w:b/>
          <w:i w:val="0"/>
          <w:sz w:val="20"/>
        </w:rPr>
        <w:t>COMPARISON</w:t>
      </w:r>
    </w:p>
    <w:p>
      <w:pPr>
        <w:spacing w:before="0" w:after="80"/>
      </w:pPr>
      <w:r>
        <w:rPr>
          <w:rFonts w:ascii="Arial" w:hAnsi="Arial"/>
          <w:b w:val="0"/>
          <w:i w:val="0"/>
          <w:sz w:val="19"/>
        </w:rPr>
        <w:t>Foot radiograph, left, 05/16/2026 — soft tissue swelling without definite osseous destruction; correlate clinically. No prior MRI of the left foot available for comparison.</w:t>
      </w:r>
    </w:p>
    <w:p>
      <w:pPr>
        <w:spacing w:before="160" w:after="40"/>
      </w:pPr>
      <w:r>
        <w:rPr>
          <w:rFonts w:ascii="Arial" w:hAnsi="Arial"/>
          <w:b/>
          <w:i w:val="0"/>
          <w:sz w:val="20"/>
        </w:rPr>
        <w:t>FINDINGS</w:t>
      </w:r>
    </w:p>
    <w:p>
      <w:pPr>
        <w:spacing w:before="0" w:after="60"/>
      </w:pPr>
      <w:r>
        <w:rPr>
          <w:rFonts w:ascii="Arial" w:hAnsi="Arial"/>
          <w:b/>
          <w:i w:val="0"/>
          <w:sz w:val="19"/>
        </w:rPr>
        <w:t>Skin and plantar soft tissues:</w:t>
      </w:r>
      <w:r>
        <w:rPr>
          <w:rFonts w:ascii="Arial" w:hAnsi="Arial"/>
          <w:b w:val="0"/>
          <w:i w:val="0"/>
          <w:sz w:val="19"/>
        </w:rPr>
        <w:t xml:space="preserve"> Plantar soft-tissue ulceration over the first to second metatarsal head region with adjacent soft tissue edema, fat-stranding, and avid enhancement on the post-contrast sequences. Findings are consistent with overlying cellulitis and active soft-tissue infection contiguous with the ulcer base.</w:t>
      </w:r>
    </w:p>
    <w:p>
      <w:pPr>
        <w:spacing w:before="0" w:after="60"/>
      </w:pPr>
      <w:r>
        <w:rPr>
          <w:rFonts w:ascii="Arial" w:hAnsi="Arial"/>
          <w:b/>
          <w:i w:val="0"/>
          <w:sz w:val="19"/>
        </w:rPr>
        <w:t>Deep soft-tissue compartments:</w:t>
      </w:r>
      <w:r>
        <w:rPr>
          <w:rFonts w:ascii="Arial" w:hAnsi="Arial"/>
          <w:b w:val="0"/>
          <w:i w:val="0"/>
          <w:sz w:val="19"/>
        </w:rPr>
        <w:t xml:space="preserve"> No rim-enhancing fluid collection, no drainable abscess, and no sinus tract extending to a discrete fluid pocket are identified. Intrinsic plantar musculature demonstrates mild adjacent reactive edema without focal necrosis or myositis with frank collection.</w:t>
      </w:r>
    </w:p>
    <w:p>
      <w:pPr>
        <w:spacing w:before="0" w:after="60"/>
      </w:pPr>
      <w:r>
        <w:rPr>
          <w:rFonts w:ascii="Arial" w:hAnsi="Arial"/>
          <w:b/>
          <w:i w:val="0"/>
          <w:sz w:val="19"/>
        </w:rPr>
        <w:t>Osseous structures — forefoot:</w:t>
      </w:r>
      <w:r>
        <w:rPr>
          <w:rFonts w:ascii="Arial" w:hAnsi="Arial"/>
          <w:b w:val="0"/>
          <w:i w:val="0"/>
          <w:sz w:val="19"/>
        </w:rPr>
        <w:t xml:space="preserve"> Bone marrow edema is present in the adjacent first and second metatarsal heads, manifest as hyperintense signal on fluid-sensitive sequences with corresponding low-to-intermediate T1 signal in the subchondral marrow and post-contrast enhancement. No cortical destruction, no cortical breach, no periosteal reaction, and no sequestrum is identified. Marrow signal changes are nonspecific and may reflect reactive marrow change adjacent to the contiguous soft-tissue infection.</w:t>
      </w:r>
    </w:p>
    <w:p>
      <w:pPr>
        <w:spacing w:before="0" w:after="60"/>
      </w:pPr>
      <w:r>
        <w:rPr>
          <w:rFonts w:ascii="Arial" w:hAnsi="Arial"/>
          <w:b/>
          <w:i w:val="0"/>
          <w:sz w:val="19"/>
        </w:rPr>
        <w:t>Osseous structures — midfoot and hindfoot:</w:t>
      </w:r>
      <w:r>
        <w:rPr>
          <w:rFonts w:ascii="Arial" w:hAnsi="Arial"/>
          <w:b w:val="0"/>
          <w:i w:val="0"/>
          <w:sz w:val="19"/>
        </w:rPr>
        <w:t xml:space="preserve"> Tarsal bones, talus, calcaneus, and navicular demonstrate normal marrow signal. No additional foci of marrow edema. No occult fracture.</w:t>
      </w:r>
    </w:p>
    <w:p>
      <w:pPr>
        <w:spacing w:before="0" w:after="60"/>
      </w:pPr>
      <w:r>
        <w:rPr>
          <w:rFonts w:ascii="Arial" w:hAnsi="Arial"/>
          <w:b/>
          <w:i w:val="0"/>
          <w:sz w:val="19"/>
        </w:rPr>
        <w:t>Joints:</w:t>
      </w:r>
      <w:r>
        <w:rPr>
          <w:rFonts w:ascii="Arial" w:hAnsi="Arial"/>
          <w:b w:val="0"/>
          <w:i w:val="0"/>
          <w:sz w:val="19"/>
        </w:rPr>
        <w:t xml:space="preserve"> First metatarsophalangeal joint without effusion or synovial enhancement to suggest septic arthritis. Lesser metatarsophalangeal joints likewise without abnormal effusion or synovial enhancement.</w:t>
      </w:r>
    </w:p>
    <w:p>
      <w:pPr>
        <w:spacing w:before="0" w:after="60"/>
      </w:pPr>
      <w:r>
        <w:rPr>
          <w:rFonts w:ascii="Arial" w:hAnsi="Arial"/>
          <w:b/>
          <w:i w:val="0"/>
          <w:sz w:val="19"/>
        </w:rPr>
        <w:t>Tendons, ligaments, plantar fascia:</w:t>
      </w:r>
      <w:r>
        <w:rPr>
          <w:rFonts w:ascii="Arial" w:hAnsi="Arial"/>
          <w:b w:val="0"/>
          <w:i w:val="0"/>
          <w:sz w:val="19"/>
        </w:rPr>
        <w:t xml:space="preserve"> Flexor and extensor tendons intact without tenosynovitis. Plantar fascia intact. No tendon sheath fluid collection.</w:t>
      </w:r>
    </w:p>
    <w:p>
      <w:pPr>
        <w:spacing w:before="0" w:after="60"/>
      </w:pPr>
      <w:r>
        <w:rPr>
          <w:rFonts w:ascii="Arial" w:hAnsi="Arial"/>
          <w:b/>
          <w:i w:val="0"/>
          <w:sz w:val="19"/>
        </w:rPr>
        <w:t>Neurovascular:</w:t>
      </w:r>
      <w:r>
        <w:rPr>
          <w:rFonts w:ascii="Arial" w:hAnsi="Arial"/>
          <w:b w:val="0"/>
          <w:i w:val="0"/>
          <w:sz w:val="19"/>
        </w:rPr>
        <w:t xml:space="preserve"> No discrete intramuscular or subcutaneous venous thrombus or focal vascular abnormality on the limited non-vascular sequences. Vascular calcifications noted incidentally, consistent with known peripheral arterial disease.</w:t>
      </w:r>
    </w:p>
    <w:p>
      <w:pPr>
        <w:spacing w:before="0" w:after="60"/>
      </w:pPr>
      <w:r>
        <w:rPr>
          <w:rFonts w:ascii="Arial" w:hAnsi="Arial"/>
          <w:b/>
          <w:i w:val="0"/>
          <w:sz w:val="19"/>
        </w:rPr>
        <w:t>Other:</w:t>
      </w:r>
      <w:r>
        <w:rPr>
          <w:rFonts w:ascii="Arial" w:hAnsi="Arial"/>
          <w:b w:val="0"/>
          <w:i w:val="0"/>
          <w:sz w:val="19"/>
        </w:rPr>
        <w:t xml:space="preserve"> Subcutaneous edema overlying the dorsum and plantar forefoot. No foreign body. No subcutaneous gas. No drainable abscess. No cortical destruction.</w:t>
      </w:r>
    </w:p>
    <w:p>
      <w:pPr>
        <w:spacing w:before="160" w:after="40"/>
      </w:pPr>
      <w:r>
        <w:rPr>
          <w:rFonts w:ascii="Arial" w:hAnsi="Arial"/>
          <w:b/>
          <w:i w:val="0"/>
          <w:sz w:val="20"/>
        </w:rPr>
        <w:t>IMPRESSION</w:t>
      </w:r>
    </w:p>
    <w:p>
      <w:pPr>
        <w:pStyle w:val="ListNumber"/>
        <w:spacing w:before="0" w:after="60"/>
      </w:pPr>
      <w:r>
        <w:rPr>
          <w:rFonts w:ascii="Arial" w:hAnsi="Arial"/>
          <w:b w:val="0"/>
          <w:i w:val="0"/>
          <w:sz w:val="19"/>
        </w:rPr>
        <w:t>Plantar forefoot soft-tissue infection / cellulitis over the first to second metatarsal head region, contiguous with the plantar ulcer.</w:t>
      </w:r>
    </w:p>
    <w:p>
      <w:pPr>
        <w:pStyle w:val="ListNumber"/>
        <w:spacing w:before="0" w:after="60"/>
      </w:pPr>
      <w:r>
        <w:rPr>
          <w:rFonts w:ascii="Arial" w:hAnsi="Arial"/>
          <w:b w:val="0"/>
          <w:i w:val="0"/>
          <w:sz w:val="19"/>
        </w:rPr>
        <w:t>Bone marrow edema in the adjacent first and second metatarsal heads. Early osteomyelitis cannot be excluded; findings are equivocal and not diagnostic alone. The marrow signal abnormalities may represent reactive change adjacent to the contiguous soft-tissue infection rather than true osseous infection. Recommend correlation with clinical course, inflammatory marker trend, deep-tissue culture and surgical pathology results, and treating-team judgment.</w:t>
      </w:r>
    </w:p>
    <w:p>
      <w:pPr>
        <w:pStyle w:val="ListNumber"/>
        <w:spacing w:before="0" w:after="60"/>
      </w:pPr>
      <w:r>
        <w:rPr>
          <w:rFonts w:ascii="Arial" w:hAnsi="Arial"/>
          <w:b w:val="0"/>
          <w:i w:val="0"/>
          <w:sz w:val="19"/>
        </w:rPr>
        <w:t>No cortical destruction, no sequestrum, and no drainable abscess identified.</w:t>
      </w:r>
    </w:p>
    <w:p>
      <w:pPr>
        <w:spacing w:before="0" w:after="80"/>
      </w:pPr>
    </w:p>
    <w:p>
      <w:pPr>
        <w:spacing w:before="0" w:after="0"/>
      </w:pPr>
      <w:r>
        <w:rPr>
          <w:rFonts w:ascii="Arial" w:hAnsi="Arial"/>
          <w:b w:val="0"/>
          <w:i/>
          <w:sz w:val="18"/>
        </w:rPr>
        <w:t>Electronically signed by Aarav Khatri, MD, Musculoskeletal Radiologist, Department of Radiology, Harbor Crest Regional Medical Center, on 05/18/2026 at 17:05.</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