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438"/>
      </w:tblGrid>
      <w:tr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4"/>
              </w:rPr>
              <w:t>Harbor Crest Regional Medical Center
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sz w:val="20"/>
              </w:rPr>
              <w:t>Microbiology Laboratory</w:t>
            </w:r>
          </w:p>
        </w:tc>
        <w:tc>
          <w:tcPr>
            <w:tcW w:type="dxa" w:w="243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sz w:val="22"/>
              </w:rPr>
              <w:t>CONFIDENTIAL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2381"/>
        <w:gridCol w:w="2551"/>
        <w:gridCol w:w="1984"/>
      </w:tblGrid>
      <w:tr>
        <w:tc>
          <w:tcPr>
            <w:tcW w:type="dxa" w:w="317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PATIENT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Ondina Vasquell  68 y / Female / DOB 03/14/1958</w:t>
            </w:r>
          </w:p>
        </w:tc>
        <w:tc>
          <w:tcPr>
            <w:tcW w:type="dxa" w:w="23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MRN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OV-3358104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FIN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FIN-2207733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DOCUMENT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MICROBIOLOGY REPORT</w:t>
            </w:r>
          </w:p>
        </w:tc>
      </w:tr>
      <w:tr>
        <w:tc>
          <w:tcPr>
            <w:tcW w:type="dxa" w:w="317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DATE OF SERVICE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05/17/2026</w:t>
            </w:r>
          </w:p>
        </w:tc>
        <w:tc>
          <w:tcPr>
            <w:tcW w:type="dxa" w:w="23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AUTHOR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Microbiology Laboratory, Harbor Crest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ALLERGIES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Sulfa (sulfonamide antibiotics) — rash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STATUS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Final</w:t>
            </w:r>
          </w:p>
        </w:tc>
      </w:tr>
    </w:tbl>
    <w:p>
      <w:pPr>
        <w:spacing w:after="80" w:before="0"/>
      </w:pPr>
    </w:p>
    <w:p>
      <w:pPr>
        <w:spacing w:before="80" w:after="80"/>
      </w:pPr>
      <w:r>
        <w:rPr>
          <w:rFonts w:ascii="Arial" w:hAnsi="Arial"/>
          <w:b/>
          <w:sz w:val="26"/>
        </w:rPr>
        <w:t>MICROBIOLOGY REPORT — CULTURE, DEEP TISSUE (OPERATIVE)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Accession: </w:t>
      </w:r>
      <w:r>
        <w:rPr>
          <w:rFonts w:ascii="Arial" w:hAnsi="Arial"/>
          <w:sz w:val="20"/>
        </w:rPr>
        <w:t>HCR-MIC-26-51744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Status: </w:t>
      </w:r>
      <w:r>
        <w:rPr>
          <w:rFonts w:ascii="Arial" w:hAnsi="Arial"/>
          <w:sz w:val="20"/>
        </w:rPr>
        <w:t>Final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Specimen type: </w:t>
      </w:r>
      <w:r>
        <w:rPr>
          <w:rFonts w:ascii="Arial" w:hAnsi="Arial"/>
          <w:sz w:val="20"/>
        </w:rPr>
        <w:t>Deep soft tissue, operative debridement</w:t>
      </w:r>
    </w:p>
    <w:p>
      <w:pPr>
        <w:spacing w:after="20"/>
      </w:pPr>
      <w:r>
        <w:t xml:space="preserve">Source authority: Operative deep-tissue specimen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Reported: </w:t>
      </w:r>
      <w:r>
        <w:rPr>
          <w:rFonts w:ascii="Arial" w:hAnsi="Arial"/>
          <w:sz w:val="20"/>
        </w:rPr>
        <w:t>05/19/2026 08:32 (HD4)</w:t>
      </w:r>
    </w:p>
    <w:p>
      <w:pPr>
        <w:spacing w:before="40" w:after="40"/>
        <w:pBdr>
          <w:bottom w:val="single" w:sz="6" w:space="1" w:color="888888"/>
        </w:pBdr>
      </w:pPr>
    </w:p>
    <w:p>
      <w:pPr>
        <w:spacing w:before="160" w:after="60"/>
      </w:pPr>
      <w:r>
        <w:rPr>
          <w:rFonts w:ascii="Arial" w:hAnsi="Arial"/>
          <w:b/>
          <w:sz w:val="22"/>
        </w:rPr>
        <w:t>PATIENT / ENCOUNTER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Patient: </w:t>
      </w:r>
      <w:r>
        <w:rPr>
          <w:rFonts w:ascii="Arial" w:hAnsi="Arial"/>
          <w:sz w:val="20"/>
        </w:rPr>
        <w:t>Ondina Vasquell, 68 y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Sex / DOB: </w:t>
      </w:r>
      <w:r>
        <w:rPr>
          <w:rFonts w:ascii="Arial" w:hAnsi="Arial"/>
          <w:sz w:val="20"/>
        </w:rPr>
        <w:t>Female / 03/14/1958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MRN / FIN: </w:t>
      </w:r>
      <w:r>
        <w:rPr>
          <w:rFonts w:ascii="Arial" w:hAnsi="Arial"/>
          <w:sz w:val="20"/>
        </w:rPr>
        <w:t>OV-3358104 / FIN-2207733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Unit / Room: </w:t>
      </w:r>
      <w:r>
        <w:rPr>
          <w:rFonts w:ascii="Arial" w:hAnsi="Arial"/>
          <w:sz w:val="20"/>
        </w:rPr>
        <w:t>6 South Medicine / 6S-214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Code Status: </w:t>
      </w:r>
      <w:r>
        <w:rPr>
          <w:rFonts w:ascii="Arial" w:hAnsi="Arial"/>
          <w:sz w:val="20"/>
        </w:rPr>
        <w:t>Full Code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Allergies: </w:t>
      </w:r>
      <w:r>
        <w:rPr>
          <w:rFonts w:ascii="Arial" w:hAnsi="Arial"/>
          <w:sz w:val="20"/>
        </w:rPr>
        <w:t>Sulfa (sulfonamide antibiotics) — rash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Attending of record: </w:t>
      </w:r>
      <w:r>
        <w:rPr>
          <w:rFonts w:ascii="Arial" w:hAnsi="Arial"/>
          <w:sz w:val="20"/>
        </w:rPr>
        <w:t>Lillian Everet, MD (Hospital Medicine)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Ordering clinician: </w:t>
      </w:r>
      <w:r>
        <w:rPr>
          <w:rFonts w:ascii="Arial" w:hAnsi="Arial"/>
          <w:sz w:val="20"/>
        </w:rPr>
        <w:t>Priyanka Vell, DPM (Podiatric Surgery, NPI 1789203341)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Service: </w:t>
      </w:r>
      <w:r>
        <w:rPr>
          <w:rFonts w:ascii="Arial" w:hAnsi="Arial"/>
          <w:sz w:val="20"/>
        </w:rPr>
        <w:t>Hospital Medicine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Language: </w:t>
      </w:r>
      <w:r>
        <w:rPr>
          <w:rFonts w:ascii="Arial" w:hAnsi="Arial"/>
          <w:sz w:val="20"/>
        </w:rPr>
        <w:t>Spanish preferred (interpreter used at bedside)</w:t>
      </w:r>
    </w:p>
    <w:p>
      <w:pPr>
        <w:spacing w:before="40" w:after="40"/>
        <w:pBdr>
          <w:bottom w:val="single" w:sz="6" w:space="1" w:color="888888"/>
        </w:pBdr>
      </w:pPr>
    </w:p>
    <w:p>
      <w:pPr>
        <w:spacing w:before="160" w:after="60"/>
      </w:pPr>
      <w:r>
        <w:rPr>
          <w:rFonts w:ascii="Arial" w:hAnsi="Arial"/>
          <w:b/>
          <w:sz w:val="22"/>
        </w:rPr>
        <w:t>SPECIMEN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257"/>
      </w:tblGrid>
      <w:tr>
        <w:tc>
          <w:tcPr>
            <w:tcW w:type="dxa" w:w="2835"/>
            <w:shd w:fill="E8E8E8" w:val="clea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Field</w:t>
            </w:r>
          </w:p>
        </w:tc>
        <w:tc>
          <w:tcPr>
            <w:tcW w:type="dxa" w:w="7257"/>
            <w:shd w:fill="E8E8E8" w:val="clea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Accession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HCR-MIC-26-51744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Specimen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Deep soft tissue, left plantar forefoot (1st–2nd metatarsal head)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Source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Deep soft tissue obtained at operative debridement, 05/17/2026
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Collected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05/17/2026 14:18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Received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05/17/2026 15:10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Reported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05/19/2026 08:32 (HD4)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Ordering clinician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Priyanka Vell, DPM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Collection procedure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Bedside sharp debridement, deep tissue sample obtained from granulating base after removal of devitalized soft tissue and fibrinous slough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Container / transport</w:t>
            </w:r>
          </w:p>
        </w:tc>
        <w:tc>
          <w:tcPr>
            <w:tcW w:type="dxa" w:w="725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Sterile container, aerobic and anaerobic transport; chain of custody documented</w:t>
            </w:r>
          </w:p>
        </w:tc>
      </w:tr>
    </w:tbl>
    <w:p>
      <w:pPr>
        <w:spacing w:after="80" w:before="0"/>
      </w:pPr>
    </w:p>
    <w:p>
      <w:pPr>
        <w:spacing w:before="40" w:after="40"/>
        <w:pBdr>
          <w:bottom w:val="single" w:sz="6" w:space="1" w:color="888888"/>
        </w:pBdr>
      </w:pPr>
    </w:p>
    <w:p>
      <w:pPr>
        <w:spacing w:before="160" w:after="60"/>
      </w:pPr>
      <w:r>
        <w:rPr>
          <w:rFonts w:ascii="Arial" w:hAnsi="Arial"/>
          <w:b/>
          <w:sz w:val="22"/>
        </w:rPr>
        <w:t>SOURCE NOTE</w:t>
      </w:r>
    </w:p>
    <w:p>
      <w:pPr>
        <w:spacing w:after="80"/>
      </w:pPr>
      <w:r>
        <w:t xml:space="preserve">Specimen acquired from a debrided, granulating wound base during bedside sharp debridement performed by Podiatric Surgery on 05/17/2026.</w:t>
      </w:r>
    </w:p>
    <w:p>
      <w:pPr>
        <w:spacing w:before="40" w:after="40"/>
        <w:pBdr>
          <w:bottom w:val="single" w:sz="6" w:space="1" w:color="888888"/>
        </w:pBdr>
      </w:pPr>
    </w:p>
    <w:p>
      <w:pPr>
        <w:spacing w:before="160" w:after="60"/>
      </w:pPr>
      <w:r>
        <w:rPr>
          <w:rFonts w:ascii="Arial" w:hAnsi="Arial"/>
          <w:b/>
          <w:sz w:val="22"/>
        </w:rPr>
        <w:t>RESULT</w:t>
      </w:r>
    </w:p>
    <w:p>
      <w:pPr>
        <w:spacing w:after="60"/>
      </w:pPr>
      <w:r>
        <w:rPr>
          <w:rFonts w:ascii="Arial" w:hAnsi="Arial"/>
          <w:b/>
          <w:i w:val="0"/>
          <w:sz w:val="20"/>
        </w:rPr>
        <w:t xml:space="preserve">Aerobic culture: </w:t>
      </w:r>
      <w:r>
        <w:rPr>
          <w:rFonts w:ascii="Arial" w:hAnsi="Arial"/>
          <w:b w:val="0"/>
          <w:i w:val="0"/>
          <w:sz w:val="20"/>
        </w:rPr>
        <w:t>Moderate growth, TWO organisms isolated.</w:t>
      </w:r>
    </w:p>
    <w:p>
      <w:pPr>
        <w:pStyle w:val="ListNumber"/>
        <w:spacing w:after="20"/>
      </w:pPr>
      <w:r>
        <w:rPr>
          <w:rFonts w:ascii="Arial" w:hAnsi="Arial"/>
          <w:b/>
          <w:i w:val="0"/>
          <w:sz w:val="20"/>
        </w:rPr>
        <w:t>Staphylococcus aureus, methicillin-SUSCEPTIBLE (MSSA)</w:t>
      </w:r>
      <w:r>
        <w:rPr>
          <w:rFonts w:ascii="Arial" w:hAnsi="Arial"/>
          <w:b w:val="0"/>
          <w:i w:val="0"/>
          <w:sz w:val="20"/>
        </w:rPr>
        <w:t xml:space="preserve"> — moderate growth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0"/>
        </w:rPr>
        <w:t>Streptococcus agalactiae</w:t>
      </w:r>
      <w:r>
        <w:rPr>
          <w:rFonts w:ascii="Arial" w:hAnsi="Arial"/>
          <w:b w:val="0"/>
          <w:i w:val="0"/>
          <w:sz w:val="20"/>
        </w:rPr>
        <w:t xml:space="preserve"> (Group B Streptococcus) — moderate growth</w:t>
      </w:r>
    </w:p>
    <w:p>
      <w:pPr>
        <w:spacing w:after="60"/>
      </w:pPr>
      <w:r>
        <w:rPr>
          <w:rFonts w:ascii="Arial" w:hAnsi="Arial"/>
          <w:b/>
          <w:i w:val="0"/>
          <w:sz w:val="20"/>
        </w:rPr>
        <w:t xml:space="preserve">Anaerobic culture: </w:t>
      </w:r>
      <w:r>
        <w:rPr>
          <w:rFonts w:ascii="Arial" w:hAnsi="Arial"/>
          <w:b w:val="0"/>
          <w:i w:val="0"/>
          <w:sz w:val="20"/>
        </w:rPr>
        <w:t>No growth at 5 days.</w:t>
      </w:r>
    </w:p>
    <w:p>
      <w:pPr>
        <w:spacing w:after="60"/>
      </w:pPr>
      <w:r>
        <w:rPr>
          <w:rFonts w:ascii="Arial" w:hAnsi="Arial"/>
          <w:b/>
          <w:i w:val="0"/>
          <w:sz w:val="20"/>
        </w:rPr>
        <w:t xml:space="preserve">Gram stain (initial): </w:t>
      </w:r>
      <w:r>
        <w:rPr>
          <w:rFonts w:ascii="Arial" w:hAnsi="Arial"/>
          <w:b w:val="0"/>
          <w:i w:val="0"/>
          <w:sz w:val="20"/>
        </w:rPr>
        <w:t>Many neutrophils; gram-positive cocci in clusters and gram-positive cocci in chains.</w:t>
      </w:r>
    </w:p>
    <w:p>
      <w:pPr>
        <w:spacing w:before="40" w:after="40"/>
        <w:pBdr>
          <w:bottom w:val="single" w:sz="6" w:space="1" w:color="888888"/>
        </w:pBdr>
      </w:pPr>
    </w:p>
    <w:p>
      <w:pPr>
        <w:spacing w:before="160" w:after="60"/>
      </w:pPr>
      <w:r>
        <w:rPr>
          <w:rFonts w:ascii="Arial" w:hAnsi="Arial"/>
          <w:b/>
          <w:sz w:val="22"/>
        </w:rPr>
        <w:t>SUSCEPTIBILITIES — Staphylococcus aureus (MSSA)</w:t>
      </w:r>
    </w:p>
    <w:p>
      <w:pPr>
        <w:spacing w:after="80"/>
      </w:pPr>
      <w:r>
        <w:rPr>
          <w:rFonts w:ascii="Arial" w:hAnsi="Arial"/>
          <w:i/>
          <w:sz w:val="20"/>
        </w:rPr>
        <w:t>Method: automated broth microdilution with confirmatory disk diffusion as needed; interpretations per current CLSI breakpoints.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3969"/>
        <w:gridCol w:w="3175"/>
      </w:tblGrid>
      <w:tr>
        <w:tc>
          <w:tcPr>
            <w:tcW w:type="dxa" w:w="2948"/>
            <w:shd w:fill="E8E8E8" w:val="clea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Agent</w:t>
            </w:r>
          </w:p>
        </w:tc>
        <w:tc>
          <w:tcPr>
            <w:tcW w:type="dxa" w:w="3969"/>
            <w:shd w:fill="E8E8E8" w:val="clea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Interpretation</w:t>
            </w:r>
          </w:p>
        </w:tc>
        <w:tc>
          <w:tcPr>
            <w:tcW w:type="dxa" w:w="3175"/>
            <w:shd w:fill="E8E8E8" w:val="clea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Comment</w:t>
            </w:r>
          </w:p>
        </w:tc>
      </w:tr>
      <w:t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Oxacillin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Susceptible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Confirms MSSA phenotype</w:t>
            </w:r>
          </w:p>
        </w:tc>
      </w:tr>
      <w:t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Cefazolin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Susceptible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Clindamycin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Susceptible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D-test negative — no inducible clindamycin resistance</w:t>
            </w:r>
          </w:p>
        </w:tc>
      </w:tr>
      <w:t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Trimethoprim-sulfamethoxazole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Susceptible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/>
            </w:r>
          </w:p>
        </w:tc>
      </w:tr>
      <w:t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Vancomycin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Susceptible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Arial" w:hAnsi="Arial"/>
          <w:b/>
          <w:i w:val="0"/>
          <w:sz w:val="20"/>
        </w:rPr>
        <w:t xml:space="preserve">Streptococcus agalactiae: </w:t>
      </w:r>
      <w:r>
        <w:rPr>
          <w:rFonts w:ascii="Arial" w:hAnsi="Arial"/>
          <w:b w:val="0"/>
          <w:i w:val="0"/>
          <w:sz w:val="20"/>
        </w:rPr>
        <w:t>Routine susceptibility testing is not performed; organism is predictably susceptible to penicillin and ampicillin per CLSI guidance. Clinical correlation for combination coverage with co-isolated S. aureus is advised.</w:t>
      </w:r>
    </w:p>
    <w:p>
      <w:pPr>
        <w:spacing w:before="40" w:after="40"/>
        <w:pBdr>
          <w:bottom w:val="single" w:sz="6" w:space="1" w:color="888888"/>
        </w:pBdr>
      </w:pPr>
    </w:p>
    <w:p>
      <w:pPr>
        <w:spacing w:before="160" w:after="60"/>
      </w:pPr>
      <w:r>
        <w:rPr>
          <w:rFonts w:ascii="Arial" w:hAnsi="Arial"/>
          <w:b/>
          <w:sz w:val="22"/>
        </w:rPr>
        <w:t>MICROBIOLOGY COMMENT</w:t>
      </w:r>
    </w:p>
    <w:p>
      <w:pPr>
        <w:spacing w:after="80"/>
      </w:pPr>
      <w:r>
        <w:rPr>
          <w:rFonts w:ascii="Arial" w:hAnsi="Arial"/>
          <w:sz w:val="20"/>
        </w:rPr>
        <w:t>Specimen source is deep operative tissue from the debrided wound base.</w:t>
      </w:r>
    </w:p>
    <w:p>
      <w:pPr>
        <w:spacing w:after="80"/>
      </w:pPr>
      <w:r>
        <w:t xml:space="preserve">Verify allergy history before prescribing any agent on the susceptibility panel.
</w:t>
      </w:r>
    </w:p>
    <w:p>
      <w:pPr>
        <w:spacing w:after="80"/>
      </w:pPr>
      <w:r>
        <w:rPr>
          <w:rFonts w:ascii="Arial" w:hAnsi="Arial"/>
          <w:sz w:val="20"/>
        </w:rPr>
        <w:t>Both organisms (MSSA and Streptococcus agalactiae) are consistent with deep diabetic foot soft tissue infection. Anaerobic culture has shown no growth at 5 days and is reported as final.</w:t>
      </w:r>
    </w:p>
    <w:p>
      <w:pPr>
        <w:spacing w:before="40" w:after="40"/>
        <w:pBdr>
          <w:bottom w:val="single" w:sz="6" w:space="1" w:color="888888"/>
        </w:pBdr>
      </w:pPr>
    </w:p>
    <w:p>
      <w:pPr>
        <w:spacing w:before="40" w:after="40"/>
        <w:pBdr>
          <w:bottom w:val="single" w:sz="6" w:space="1" w:color="888888"/>
        </w:pBdr>
      </w:pPr>
    </w:p>
    <w:p>
      <w:pPr>
        <w:spacing w:before="160" w:after="60"/>
      </w:pPr>
      <w:r>
        <w:rPr>
          <w:rFonts w:ascii="Arial" w:hAnsi="Arial"/>
          <w:b/>
          <w:sz w:val="22"/>
        </w:rPr>
        <w:t>ACCESSION AND REPORT METADATA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Accession: </w:t>
      </w:r>
      <w:r>
        <w:rPr>
          <w:rFonts w:ascii="Arial" w:hAnsi="Arial"/>
          <w:sz w:val="20"/>
        </w:rPr>
        <w:t>HCR-MIC-26-51744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Laboratory: </w:t>
      </w:r>
      <w:r>
        <w:rPr>
          <w:rFonts w:ascii="Arial" w:hAnsi="Arial"/>
          <w:sz w:val="20"/>
        </w:rPr>
        <w:t>Harbor Crest Regional Medical Center, Microbiology Laboratory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Facility: </w:t>
      </w:r>
      <w:r>
        <w:rPr>
          <w:rFonts w:ascii="Arial" w:hAnsi="Arial"/>
          <w:sz w:val="20"/>
        </w:rPr>
        <w:t>2400 Mariners Bay Boulevard, Cypress Harbor, FL 33421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Report status: </w:t>
      </w:r>
      <w:r>
        <w:rPr>
          <w:rFonts w:ascii="Arial" w:hAnsi="Arial"/>
          <w:sz w:val="20"/>
        </w:rPr>
        <w:t>Final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Reported: </w:t>
      </w:r>
      <w:r>
        <w:rPr>
          <w:rFonts w:ascii="Arial" w:hAnsi="Arial"/>
          <w:sz w:val="20"/>
        </w:rPr>
        <w:t>05/19/2026 08:32 (HD4)</w:t>
      </w:r>
    </w:p>
    <w:p>
      <w:pPr>
        <w:spacing w:after="20"/>
      </w:pPr>
      <w:r>
        <w:rPr>
          <w:rFonts w:ascii="Arial" w:hAnsi="Arial"/>
          <w:b/>
          <w:sz w:val="20"/>
        </w:rPr>
        <w:t xml:space="preserve">Distribution: </w:t>
      </w:r>
      <w:r>
        <w:rPr>
          <w:rFonts w:ascii="Arial" w:hAnsi="Arial"/>
          <w:sz w:val="20"/>
        </w:rPr>
        <w:t>Hospital Medicine (Dr. Everet); Podiatric Surgery (Dr. Vell); Infectious Disease (Dr. Brusk); chart</w:t>
      </w:r>
    </w:p>
    <w:p>
      <w:pPr>
        <w:spacing w:after="120" w:before="0"/>
      </w:pPr>
    </w:p>
    <w:p>
      <w:pPr>
        <w:spacing w:after="0"/>
      </w:pPr>
      <w:r>
        <w:rPr>
          <w:rFonts w:ascii="Arial" w:hAnsi="Arial"/>
          <w:i/>
          <w:sz w:val="18"/>
        </w:rPr>
        <w:t>Final report — Microbiology Laboratory, Harbor Crest Regional Medical Center</w:t>
      </w:r>
    </w:p>
    <w:p>
      <w:pPr>
        <w:spacing w:after="0"/>
      </w:pPr>
      <w:r>
        <w:rPr>
          <w:rFonts w:ascii="Arial" w:hAnsi="Arial"/>
          <w:i/>
          <w:sz w:val="18"/>
        </w:rPr>
        <w:t>Released 05/19/2026 08:32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