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160"/>
      </w:tblGrid>
      <w:tr>
        <w:tc>
          <w:tcPr>
            <w:tcW w:type="dxa" w:w="8064"/>
            <w:shd w:val="clear" w:color="auto" w:fill="E8E8E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22"/>
              </w:rPr>
              <w:t>Harbor Crest Regional Medical Center</w:t>
            </w:r>
          </w:p>
        </w:tc>
        <w:tc>
          <w:tcPr>
            <w:tcW w:type="dxa" w:w="2160"/>
            <w:shd w:val="clear" w:color="auto" w:fill="E8E8E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/>
                <w:sz w:val="17"/>
              </w:rPr>
              <w:t>Confidential</w:t>
            </w:r>
          </w:p>
        </w:tc>
      </w:tr>
    </w:tbl>
    <w:p>
      <w:pPr>
        <w:spacing w:before="120" w:after="40"/>
      </w:pPr>
      <w:r>
        <w:rPr>
          <w:rFonts w:ascii="Arial" w:hAnsi="Arial" w:cs="Arial"/>
          <w:b/>
          <w:sz w:val="28"/>
        </w:rPr>
        <w:t>PRE-ADMISSION HOME MEDICATION LIST</w:t>
      </w:r>
    </w:p>
    <w:p>
      <w:pPr>
        <w:spacing w:before="0" w:after="120"/>
      </w:pPr>
      <w:r>
        <w:rPr>
          <w:rFonts w:ascii="Arial" w:hAnsi="Arial" w:cs="Arial"/>
          <w:b w:val="0"/>
          <w:sz w:val="16"/>
        </w:rPr>
        <w:t xml:space="preserve">Source: HOME-MED-2026-0516
 — EMR pre-admission home medication list  |  </w:t>
      </w:r>
      <w:r>
        <w:rPr>
          <w:rFonts w:ascii="Arial" w:hAnsi="Arial" w:cs="Arial"/>
          <w:b/>
          <w:sz w:val="16"/>
        </w:rPr>
        <w:t xml:space="preserve">Reconciled By: </w:t>
      </w:r>
      <w:r>
        <w:rPr>
          <w:rFonts w:ascii="Arial" w:hAnsi="Arial" w:cs="Arial"/>
          <w:b w:val="0"/>
          <w:sz w:val="16"/>
        </w:rPr>
        <w:t xml:space="preserve">Medication Reconciliation (EMR)  |  </w:t>
      </w:r>
      <w:r>
        <w:rPr>
          <w:rFonts w:ascii="Arial" w:hAnsi="Arial" w:cs="Arial"/>
          <w:b/>
          <w:sz w:val="16"/>
        </w:rPr>
        <w:t xml:space="preserve">Reconciliation Event: </w:t>
      </w:r>
      <w:r>
        <w:rPr>
          <w:rFonts w:ascii="Arial" w:hAnsi="Arial" w:cs="Arial"/>
          <w:b w:val="0"/>
          <w:sz w:val="16"/>
        </w:rPr>
        <w:t>Admission — 05/16/2026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880"/>
        <w:gridCol w:w="1872"/>
      </w:tblGrid>
      <w:tr>
        <w:tc>
          <w:tcPr>
            <w:tcW w:type="dxa" w:w="31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4F4F4"/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Patient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Ondina Vasquell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68 y  |  Female  |  DOB 03/14/1958</w:t>
            </w:r>
          </w:p>
        </w:tc>
        <w:tc>
          <w:tcPr>
            <w:tcW w:type="dxa" w:w="230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4F4F4"/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MRN / FIN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OV-3358104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FIN-2207733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4F4F4"/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Unit / Room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6 South Medicine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6S-214</w:t>
            </w:r>
          </w:p>
        </w:tc>
        <w:tc>
          <w:tcPr>
            <w:tcW w:type="dxa" w:w="187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4F4F4"/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Code Status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Full Code</w:t>
            </w:r>
          </w:p>
        </w:tc>
      </w:tr>
      <w:tr>
        <w:tc>
          <w:tcPr>
            <w:tcW w:type="dxa" w:w="31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Date of Service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05/16/2026</w:t>
            </w:r>
          </w:p>
        </w:tc>
        <w:tc>
          <w:tcPr>
            <w:tcW w:type="dxa" w:w="230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Attending / Service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Lillian Everet, MD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Hospital Medicine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Allergies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Sulfa (sulfonamide antibiotics) — rash</w:t>
            </w:r>
          </w:p>
        </w:tc>
        <w:tc>
          <w:tcPr>
            <w:tcW w:type="dxa" w:w="187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cs="Arial"/>
                <w:b/>
                <w:sz w:val="16"/>
              </w:rPr>
              <w:t>Language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Spanish preferred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sz w:val="18"/>
              </w:rPr>
              <w:t>(interpreter used)</w:t>
            </w:r>
          </w:p>
        </w:tc>
      </w:tr>
    </w:tbl>
    <w:p>
      <w:pPr>
        <w:spacing w:before="0" w:after="40"/>
      </w:pPr>
    </w:p>
    <w:p>
      <w:pPr>
        <w:spacing w:before="80" w:after="40"/>
      </w:pPr>
      <w:r>
        <w:rPr>
          <w:rFonts w:ascii="Arial" w:hAnsi="Arial" w:cs="Arial"/>
          <w:b/>
          <w:sz w:val="20"/>
        </w:rPr>
        <w:t>HOME MEDICATIONS — RECONCILED AT ADMISSION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728"/>
        <w:gridCol w:w="1152"/>
        <w:gridCol w:w="1296"/>
        <w:gridCol w:w="1584"/>
        <w:gridCol w:w="2016"/>
      </w:tblGrid>
      <w:tr>
        <w:tc>
          <w:tcPr>
            <w:tcW w:type="dxa" w:w="432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1728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Drug</w:t>
            </w:r>
          </w:p>
        </w:tc>
        <w:tc>
          <w:tcPr>
            <w:tcW w:type="dxa" w:w="1152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Dose</w:t>
            </w:r>
          </w:p>
        </w:tc>
        <w:tc>
          <w:tcPr>
            <w:tcW w:type="dxa" w:w="1296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Route</w:t>
            </w:r>
          </w:p>
        </w:tc>
        <w:tc>
          <w:tcPr>
            <w:tcW w:type="dxa" w:w="1584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Frequency</w:t>
            </w:r>
          </w:p>
        </w:tc>
        <w:tc>
          <w:tcPr>
            <w:tcW w:type="dxa" w:w="2016"/>
            <w:shd w:val="clear" w:color="auto" w:fill="DCDCDC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/>
                <w:sz w:val="16"/>
              </w:rPr>
              <w:t>Indication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Insulin glargine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26 units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Subcutaneous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Nightly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T2DM basal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2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Insulin aspart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Sliding scale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Subcutaneous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Three times daily with meals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T2DM prandial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3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Metformin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500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Twice 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T2DM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4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Empagliflozin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10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T2DM, HFpEF, CKD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5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Lisinopril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20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Hypertension, CKD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6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Furosemide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20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HFpEF volume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7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Atorvastatin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40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Nightly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Dyslipidemia, PAD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8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Aspirin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81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PAD secondary prevention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9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Clopidogrel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75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PAD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10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Gabapentin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300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Three times 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Diabetic neuropathy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11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Ferrous sulfate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325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Anemia of CKD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12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Cholecalciferol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2000 units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CKD, vitamin 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13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Pantoprazole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40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Daily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GERD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14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Acetaminophen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650 mg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Oral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Three times daily as needed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Knee osteoarthritis — NSAIDs avoided in CKD</w:t>
            </w:r>
          </w:p>
        </w:tc>
      </w:tr>
      <w:tr>
        <w:tc>
          <w:tcPr>
            <w:tcW w:type="dxa" w:w="43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15</w:t>
            </w:r>
          </w:p>
        </w:tc>
        <w:tc>
          <w:tcPr>
            <w:tcW w:type="dxa" w:w="172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CPAP</w:t>
            </w:r>
          </w:p>
        </w:tc>
        <w:tc>
          <w:tcPr>
            <w:tcW w:type="dxa" w:w="11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Device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Nightly mask</w:t>
            </w:r>
          </w:p>
        </w:tc>
        <w:tc>
          <w:tcPr>
            <w:tcW w:type="dxa" w:w="15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Nightly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before="0" w:after="0"/>
            </w:pPr>
            <w:r/>
            <w:r>
              <w:rPr>
                <w:rFonts w:ascii="Arial" w:hAnsi="Arial" w:cs="Arial"/>
                <w:b w:val="0"/>
                <w:sz w:val="17"/>
              </w:rPr>
              <w:t>Obstructive sleep apnea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Arial" w:hAnsi="Arial" w:cs="Arial"/>
          <w:b/>
          <w:sz w:val="18"/>
        </w:rPr>
        <w:t xml:space="preserve">Preferred pharmacy: </w:t>
      </w:r>
      <w:r>
        <w:rPr>
          <w:rFonts w:ascii="Arial" w:hAnsi="Arial" w:cs="Arial"/>
          <w:b w:val="0"/>
          <w:sz w:val="18"/>
        </w:rPr>
        <w:t>Cypress Harbor Community Pharmacy, 812 Marina Way, Cypress Harbor FL 33421, (561) 555-0192.</w:t>
      </w:r>
    </w:p>
    <w:p>
      <w:pPr>
        <w:spacing w:before="80" w:after="0"/>
      </w:pPr>
      <w:r>
        <w:rPr>
          <w:rFonts w:ascii="Arial" w:hAnsi="Arial" w:cs="Arial"/>
          <w:b w:val="0"/>
          <w:sz w:val="16"/>
        </w:rPr>
        <w:t>EMR medication reconciliation — pre-admission home medication list filed on 05/16/2026.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