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7200"/>
        <w:gridCol w:w="2736"/>
      </w:tblGrid>
      <w:tr>
        <w:tc>
          <w:tcPr>
            <w:tcW w:type="dxa" w:w="7200"/>
            <w:tcBorders>
              <w:bottom w:val="single" w:sz="8" w:color="000000"/>
            </w:tcBorders>
          </w:tcPr>
          <w:p>
            <w:pPr>
              <w:spacing w:after="0"/>
            </w:pPr>
            <w:r>
              <w:rPr>
                <w:rFonts w:ascii="Arial" w:hAnsi="Arial" w:cs="Arial"/>
                <w:b/>
                <w:i w:val="0"/>
                <w:sz w:val="24"/>
              </w:rPr>
              <w:t>Harbor Crest Regional Medical Center</w:t>
            </w:r>
          </w:p>
          <w:p>
            <w:pPr>
              <w:spacing w:after="0"/>
            </w:pPr>
            <w:r>
              <w:rPr>
                <w:rFonts w:ascii="Arial" w:hAnsi="Arial" w:cs="Arial"/>
                <w:b w:val="0"/>
                <w:i w:val="0"/>
                <w:sz w:val="18"/>
              </w:rPr>
              <w:t>2400 Mariners Bay Boulevard, Cypress Harbor, FL 33421</w:t>
            </w:r>
          </w:p>
        </w:tc>
        <w:tc>
          <w:tcPr>
            <w:tcW w:type="dxa" w:w="2736"/>
            <w:tcBorders>
              <w:bottom w:val="single" w:sz="8" w:color="000000"/>
            </w:tcBorders>
          </w:tcPr>
          <w:p>
            <w:pPr>
              <w:spacing w:after="0"/>
              <w:jc w:val="right"/>
            </w:pPr>
            <w:r>
              <w:rPr>
                <w:rFonts w:ascii="Arial" w:hAnsi="Arial" w:cs="Arial"/>
                <w:b/>
                <w:i w:val="0"/>
                <w:sz w:val="18"/>
              </w:rPr>
              <w:t>Confidential</w:t>
            </w:r>
          </w:p>
          <w:p>
            <w:pPr>
              <w:spacing w:after="0"/>
              <w:jc w:val="right"/>
            </w:pPr>
            <w:r>
              <w:rPr>
                <w:rFonts w:ascii="Arial" w:hAnsi="Arial" w:cs="Arial"/>
                <w:b w:val="0"/>
                <w:i w:val="0"/>
                <w:sz w:val="18"/>
              </w:rPr>
              <w:t>Patient Care Record</w:t>
            </w:r>
          </w:p>
        </w:tc>
      </w:tr>
    </w:tbl>
    <w:p>
      <w:pPr>
        <w:spacing w:before="0" w:after="80"/>
      </w:pPr>
    </w:p>
    <w:p>
      <w:pPr>
        <w:spacing w:after="40"/>
        <w:jc w:val="left"/>
      </w:pPr>
      <w:r>
        <w:rPr>
          <w:rFonts w:ascii="Arial" w:hAnsi="Arial" w:cs="Arial"/>
          <w:b/>
          <w:i w:val="0"/>
          <w:sz w:val="28"/>
        </w:rPr>
        <w:t>NURSING SHIFT NARRATIVE — SUPPLEMENTARY</w:t>
      </w:r>
    </w:p>
    <w:p>
      <w:pPr>
        <w:spacing w:after="120"/>
      </w:pPr>
      <w:r>
        <w:rPr>
          <w:rFonts w:ascii="Arial" w:hAnsi="Arial" w:cs="Arial"/>
          <w:b w:val="0"/>
          <w:i w:val="0"/>
          <w:sz w:val="18"/>
        </w:rPr>
        <w:t>Author: Floor Nursing, 6 South Medicine  |  Date of Service: 05/18/2026  |  Status: Signed</w:t>
      </w:r>
    </w:p>
    <w:p>
      <w:pPr>
        <w:spacing w:before="160" w:after="60"/>
        <w:pBdr>
          <w:bottom w:val="single" w:sz="6" w:space="1" w:color="000000"/>
        </w:pBdr>
      </w:pPr>
      <w:r>
        <w:rPr>
          <w:rFonts w:ascii="Arial" w:hAnsi="Arial" w:cs="Arial"/>
          <w:b/>
          <w:i w:val="0"/>
          <w:sz w:val="20"/>
        </w:rPr>
        <w:t>PATIENT / ENCOUNTER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1728"/>
            <w:tcBorders>
              <w:top w:val="single" w:sz="4" w:color="BFBFBF"/>
              <w:left w:val="nil"/>
              <w:bottom w:val="single" w:sz="4" w:color="BFBFBF"/>
              <w:right w:val="nil"/>
            </w:tcBorders>
          </w:tcPr>
          <w:p>
            <w:pPr>
              <w:spacing w:after="0"/>
            </w:pPr>
            <w:r>
              <w:rPr>
                <w:rFonts w:ascii="Arial" w:hAnsi="Arial" w:cs="Arial"/>
                <w:b/>
                <w:i w:val="0"/>
                <w:sz w:val="18"/>
              </w:rPr>
              <w:t>Patient</w:t>
            </w:r>
          </w:p>
        </w:tc>
        <w:tc>
          <w:tcPr>
            <w:tcW w:type="dxa" w:w="3312"/>
            <w:tcBorders>
              <w:top w:val="single" w:sz="4" w:color="BFBFBF"/>
              <w:left w:val="nil"/>
              <w:bottom w:val="single" w:sz="4" w:color="BFBFBF"/>
              <w:right w:val="nil"/>
            </w:tcBorders>
          </w:tcPr>
          <w:p>
            <w:pPr>
              <w:spacing w:after="0"/>
            </w:pPr>
            <w:r>
              <w:rPr>
                <w:rFonts w:ascii="Arial" w:hAnsi="Arial" w:cs="Arial"/>
                <w:b w:val="0"/>
                <w:i w:val="0"/>
                <w:sz w:val="18"/>
              </w:rPr>
              <w:t>Ondina Vasquell</w:t>
            </w:r>
          </w:p>
        </w:tc>
        <w:tc>
          <w:tcPr>
            <w:tcW w:type="dxa" w:w="1872"/>
            <w:tcBorders>
              <w:top w:val="single" w:sz="4" w:color="BFBFBF"/>
              <w:left w:val="nil"/>
              <w:bottom w:val="single" w:sz="4" w:color="BFBFBF"/>
              <w:right w:val="nil"/>
            </w:tcBorders>
          </w:tcPr>
          <w:p>
            <w:pPr>
              <w:spacing w:after="0"/>
            </w:pPr>
            <w:r>
              <w:rPr>
                <w:rFonts w:ascii="Arial" w:hAnsi="Arial" w:cs="Arial"/>
                <w:b/>
                <w:i w:val="0"/>
                <w:sz w:val="18"/>
              </w:rPr>
              <w:t>DOB / Age / Sex</w:t>
            </w:r>
          </w:p>
        </w:tc>
        <w:tc>
          <w:tcPr>
            <w:tcW w:type="dxa" w:w="3024"/>
            <w:tcBorders>
              <w:top w:val="single" w:sz="4" w:color="BFBFBF"/>
              <w:left w:val="nil"/>
              <w:bottom w:val="single" w:sz="4" w:color="BFBFBF"/>
              <w:right w:val="nil"/>
            </w:tcBorders>
          </w:tcPr>
          <w:p>
            <w:pPr>
              <w:spacing w:after="0"/>
            </w:pPr>
            <w:r>
              <w:rPr>
                <w:rFonts w:ascii="Arial" w:hAnsi="Arial" w:cs="Arial"/>
                <w:b w:val="0"/>
                <w:i w:val="0"/>
                <w:sz w:val="18"/>
              </w:rPr>
              <w:t>03/14/1958 / 68 y / Female</w:t>
            </w:r>
          </w:p>
        </w:tc>
      </w:tr>
      <w:tr>
        <w:tc>
          <w:tcPr>
            <w:tcW w:type="dxa" w:w="1728"/>
            <w:tcBorders>
              <w:top w:val="single" w:sz="4" w:color="BFBFBF"/>
              <w:left w:val="nil"/>
              <w:bottom w:val="single" w:sz="4" w:color="BFBFBF"/>
              <w:right w:val="nil"/>
            </w:tcBorders>
          </w:tcPr>
          <w:p>
            <w:pPr>
              <w:spacing w:after="0"/>
            </w:pPr>
            <w:r>
              <w:rPr>
                <w:rFonts w:ascii="Arial" w:hAnsi="Arial" w:cs="Arial"/>
                <w:b/>
                <w:i w:val="0"/>
                <w:sz w:val="18"/>
              </w:rPr>
              <w:t>MRN / FIN</w:t>
            </w:r>
          </w:p>
        </w:tc>
        <w:tc>
          <w:tcPr>
            <w:tcW w:type="dxa" w:w="3312"/>
            <w:tcBorders>
              <w:top w:val="single" w:sz="4" w:color="BFBFBF"/>
              <w:left w:val="nil"/>
              <w:bottom w:val="single" w:sz="4" w:color="BFBFBF"/>
              <w:right w:val="nil"/>
            </w:tcBorders>
          </w:tcPr>
          <w:p>
            <w:pPr>
              <w:spacing w:after="0"/>
            </w:pPr>
            <w:r>
              <w:rPr>
                <w:rFonts w:ascii="Arial" w:hAnsi="Arial" w:cs="Arial"/>
                <w:b w:val="0"/>
                <w:i w:val="0"/>
                <w:sz w:val="18"/>
              </w:rPr>
              <w:t>OV-3358104 / FIN-2207733</w:t>
            </w:r>
          </w:p>
        </w:tc>
        <w:tc>
          <w:tcPr>
            <w:tcW w:type="dxa" w:w="1872"/>
            <w:tcBorders>
              <w:top w:val="single" w:sz="4" w:color="BFBFBF"/>
              <w:left w:val="nil"/>
              <w:bottom w:val="single" w:sz="4" w:color="BFBFBF"/>
              <w:right w:val="nil"/>
            </w:tcBorders>
          </w:tcPr>
          <w:p>
            <w:pPr>
              <w:spacing w:after="0"/>
            </w:pPr>
            <w:r>
              <w:rPr>
                <w:rFonts w:ascii="Arial" w:hAnsi="Arial" w:cs="Arial"/>
                <w:b/>
                <w:i w:val="0"/>
                <w:sz w:val="18"/>
              </w:rPr>
              <w:t>Unit / Room</w:t>
            </w:r>
          </w:p>
        </w:tc>
        <w:tc>
          <w:tcPr>
            <w:tcW w:type="dxa" w:w="3024"/>
            <w:tcBorders>
              <w:top w:val="single" w:sz="4" w:color="BFBFBF"/>
              <w:left w:val="nil"/>
              <w:bottom w:val="single" w:sz="4" w:color="BFBFBF"/>
              <w:right w:val="nil"/>
            </w:tcBorders>
          </w:tcPr>
          <w:p>
            <w:pPr>
              <w:spacing w:after="0"/>
            </w:pPr>
            <w:r>
              <w:rPr>
                <w:rFonts w:ascii="Arial" w:hAnsi="Arial" w:cs="Arial"/>
                <w:b w:val="0"/>
                <w:i w:val="0"/>
                <w:sz w:val="18"/>
              </w:rPr>
              <w:t>6 South Medicine / 6S-214</w:t>
            </w:r>
          </w:p>
        </w:tc>
      </w:tr>
      <w:tr>
        <w:tc>
          <w:tcPr>
            <w:tcW w:type="dxa" w:w="1728"/>
            <w:tcBorders>
              <w:top w:val="single" w:sz="4" w:color="BFBFBF"/>
              <w:left w:val="nil"/>
              <w:bottom w:val="single" w:sz="4" w:color="BFBFBF"/>
              <w:right w:val="nil"/>
            </w:tcBorders>
          </w:tcPr>
          <w:p>
            <w:pPr>
              <w:spacing w:after="0"/>
            </w:pPr>
            <w:r>
              <w:rPr>
                <w:rFonts w:ascii="Arial" w:hAnsi="Arial" w:cs="Arial"/>
                <w:b/>
                <w:i w:val="0"/>
                <w:sz w:val="18"/>
              </w:rPr>
              <w:t>Hospital Day</w:t>
            </w:r>
          </w:p>
        </w:tc>
        <w:tc>
          <w:tcPr>
            <w:tcW w:type="dxa" w:w="3312"/>
            <w:tcBorders>
              <w:top w:val="single" w:sz="4" w:color="BFBFBF"/>
              <w:left w:val="nil"/>
              <w:bottom w:val="single" w:sz="4" w:color="BFBFBF"/>
              <w:right w:val="nil"/>
            </w:tcBorders>
          </w:tcPr>
          <w:p>
            <w:pPr>
              <w:spacing w:after="0"/>
            </w:pPr>
            <w:r>
              <w:rPr>
                <w:rFonts w:ascii="Arial" w:hAnsi="Arial" w:cs="Arial"/>
                <w:b w:val="0"/>
                <w:i w:val="0"/>
                <w:sz w:val="18"/>
              </w:rPr>
              <w:t>HD3</w:t>
            </w:r>
          </w:p>
        </w:tc>
        <w:tc>
          <w:tcPr>
            <w:tcW w:type="dxa" w:w="1872"/>
            <w:tcBorders>
              <w:top w:val="single" w:sz="4" w:color="BFBFBF"/>
              <w:left w:val="nil"/>
              <w:bottom w:val="single" w:sz="4" w:color="BFBFBF"/>
              <w:right w:val="nil"/>
            </w:tcBorders>
          </w:tcPr>
          <w:p>
            <w:pPr>
              <w:spacing w:after="0"/>
            </w:pPr>
            <w:r>
              <w:rPr>
                <w:rFonts w:ascii="Arial" w:hAnsi="Arial" w:cs="Arial"/>
                <w:b/>
                <w:i w:val="0"/>
                <w:sz w:val="18"/>
              </w:rPr>
              <w:t>Date of Service</w:t>
            </w:r>
          </w:p>
        </w:tc>
        <w:tc>
          <w:tcPr>
            <w:tcW w:type="dxa" w:w="3024"/>
            <w:tcBorders>
              <w:top w:val="single" w:sz="4" w:color="BFBFBF"/>
              <w:left w:val="nil"/>
              <w:bottom w:val="single" w:sz="4" w:color="BFBFBF"/>
              <w:right w:val="nil"/>
            </w:tcBorders>
          </w:tcPr>
          <w:p>
            <w:pPr>
              <w:spacing w:after="0"/>
            </w:pPr>
            <w:r>
              <w:rPr>
                <w:rFonts w:ascii="Arial" w:hAnsi="Arial" w:cs="Arial"/>
                <w:b w:val="0"/>
                <w:i w:val="0"/>
                <w:sz w:val="18"/>
              </w:rPr>
              <w:t>05/18/2026</w:t>
            </w:r>
          </w:p>
        </w:tc>
      </w:tr>
      <w:tr>
        <w:tc>
          <w:tcPr>
            <w:tcW w:type="dxa" w:w="1728"/>
            <w:tcBorders>
              <w:top w:val="single" w:sz="4" w:color="BFBFBF"/>
              <w:left w:val="nil"/>
              <w:bottom w:val="single" w:sz="4" w:color="BFBFBF"/>
              <w:right w:val="nil"/>
            </w:tcBorders>
          </w:tcPr>
          <w:p>
            <w:pPr>
              <w:spacing w:after="0"/>
            </w:pPr>
            <w:r>
              <w:rPr>
                <w:rFonts w:ascii="Arial" w:hAnsi="Arial" w:cs="Arial"/>
                <w:b/>
                <w:i w:val="0"/>
                <w:sz w:val="18"/>
              </w:rPr>
              <w:t>Shift</w:t>
            </w:r>
          </w:p>
        </w:tc>
        <w:tc>
          <w:tcPr>
            <w:tcW w:type="dxa" w:w="3312"/>
            <w:tcBorders>
              <w:top w:val="single" w:sz="4" w:color="BFBFBF"/>
              <w:left w:val="nil"/>
              <w:bottom w:val="single" w:sz="4" w:color="BFBFBF"/>
              <w:right w:val="nil"/>
            </w:tcBorders>
          </w:tcPr>
          <w:p>
            <w:pPr>
              <w:spacing w:after="0"/>
            </w:pPr>
            <w:r>
              <w:rPr>
                <w:rFonts w:ascii="Arial" w:hAnsi="Arial" w:cs="Arial"/>
                <w:b w:val="0"/>
                <w:i w:val="0"/>
                <w:sz w:val="18"/>
              </w:rPr>
              <w:t>Day shift (0700–1900)</w:t>
            </w:r>
          </w:p>
        </w:tc>
        <w:tc>
          <w:tcPr>
            <w:tcW w:type="dxa" w:w="1872"/>
            <w:tcBorders>
              <w:top w:val="single" w:sz="4" w:color="BFBFBF"/>
              <w:left w:val="nil"/>
              <w:bottom w:val="single" w:sz="4" w:color="BFBFBF"/>
              <w:right w:val="nil"/>
            </w:tcBorders>
          </w:tcPr>
          <w:p>
            <w:pPr>
              <w:spacing w:after="0"/>
            </w:pPr>
            <w:r>
              <w:rPr>
                <w:rFonts w:ascii="Arial" w:hAnsi="Arial" w:cs="Arial"/>
                <w:b/>
                <w:i w:val="0"/>
                <w:sz w:val="18"/>
              </w:rPr>
              <w:t>Code Status</w:t>
            </w:r>
          </w:p>
        </w:tc>
        <w:tc>
          <w:tcPr>
            <w:tcW w:type="dxa" w:w="3024"/>
            <w:tcBorders>
              <w:top w:val="single" w:sz="4" w:color="BFBFBF"/>
              <w:left w:val="nil"/>
              <w:bottom w:val="single" w:sz="4" w:color="BFBFBF"/>
              <w:right w:val="nil"/>
            </w:tcBorders>
          </w:tcPr>
          <w:p>
            <w:pPr>
              <w:spacing w:after="0"/>
            </w:pPr>
            <w:r>
              <w:rPr>
                <w:rFonts w:ascii="Arial" w:hAnsi="Arial" w:cs="Arial"/>
                <w:b w:val="0"/>
                <w:i w:val="0"/>
                <w:sz w:val="18"/>
              </w:rPr>
              <w:t>Full Code</w:t>
            </w:r>
          </w:p>
        </w:tc>
      </w:tr>
      <w:tr>
        <w:tc>
          <w:tcPr>
            <w:tcW w:type="dxa" w:w="1728"/>
            <w:tcBorders>
              <w:top w:val="single" w:sz="4" w:color="BFBFBF"/>
              <w:left w:val="nil"/>
              <w:bottom w:val="single" w:sz="4" w:color="BFBFBF"/>
              <w:right w:val="nil"/>
            </w:tcBorders>
          </w:tcPr>
          <w:p>
            <w:pPr>
              <w:spacing w:after="0"/>
            </w:pPr>
            <w:r>
              <w:rPr>
                <w:rFonts w:ascii="Arial" w:hAnsi="Arial" w:cs="Arial"/>
                <w:b/>
                <w:i w:val="0"/>
                <w:sz w:val="18"/>
              </w:rPr>
              <w:t>Attending</w:t>
            </w:r>
          </w:p>
        </w:tc>
        <w:tc>
          <w:tcPr>
            <w:tcW w:type="dxa" w:w="3312"/>
            <w:tcBorders>
              <w:top w:val="single" w:sz="4" w:color="BFBFBF"/>
              <w:left w:val="nil"/>
              <w:bottom w:val="single" w:sz="4" w:color="BFBFBF"/>
              <w:right w:val="nil"/>
            </w:tcBorders>
          </w:tcPr>
          <w:p>
            <w:pPr>
              <w:spacing w:after="0"/>
            </w:pPr>
            <w:r>
              <w:rPr>
                <w:rFonts w:ascii="Arial" w:hAnsi="Arial" w:cs="Arial"/>
                <w:b w:val="0"/>
                <w:i w:val="0"/>
                <w:sz w:val="18"/>
              </w:rPr>
              <w:t>Lillian Everet, MD</w:t>
            </w:r>
          </w:p>
        </w:tc>
        <w:tc>
          <w:tcPr>
            <w:tcW w:type="dxa" w:w="1872"/>
            <w:tcBorders>
              <w:top w:val="single" w:sz="4" w:color="BFBFBF"/>
              <w:left w:val="nil"/>
              <w:bottom w:val="single" w:sz="4" w:color="BFBFBF"/>
              <w:right w:val="nil"/>
            </w:tcBorders>
          </w:tcPr>
          <w:p>
            <w:pPr>
              <w:spacing w:after="0"/>
            </w:pPr>
            <w:r>
              <w:rPr>
                <w:rFonts w:ascii="Arial" w:hAnsi="Arial" w:cs="Arial"/>
                <w:b/>
                <w:i w:val="0"/>
                <w:sz w:val="18"/>
              </w:rPr>
              <w:t>Service</w:t>
            </w:r>
          </w:p>
        </w:tc>
        <w:tc>
          <w:tcPr>
            <w:tcW w:type="dxa" w:w="3024"/>
            <w:tcBorders>
              <w:top w:val="single" w:sz="4" w:color="BFBFBF"/>
              <w:left w:val="nil"/>
              <w:bottom w:val="single" w:sz="4" w:color="BFBFBF"/>
              <w:right w:val="nil"/>
            </w:tcBorders>
          </w:tcPr>
          <w:p>
            <w:pPr>
              <w:spacing w:after="0"/>
            </w:pPr>
            <w:r>
              <w:rPr>
                <w:rFonts w:ascii="Arial" w:hAnsi="Arial" w:cs="Arial"/>
                <w:b w:val="0"/>
                <w:i w:val="0"/>
                <w:sz w:val="18"/>
              </w:rPr>
              <w:t>Hospital Medicine</w:t>
            </w:r>
          </w:p>
        </w:tc>
      </w:tr>
      <w:tr>
        <w:tc>
          <w:tcPr>
            <w:tcW w:type="dxa" w:w="1728"/>
            <w:tcBorders>
              <w:top w:val="single" w:sz="4" w:color="BFBFBF"/>
              <w:left w:val="nil"/>
              <w:bottom w:val="single" w:sz="4" w:color="BFBFBF"/>
              <w:right w:val="nil"/>
            </w:tcBorders>
          </w:tcPr>
          <w:p>
            <w:pPr>
              <w:spacing w:after="0"/>
            </w:pPr>
            <w:r>
              <w:rPr>
                <w:rFonts w:ascii="Arial" w:hAnsi="Arial" w:cs="Arial"/>
                <w:b/>
                <w:i w:val="0"/>
                <w:sz w:val="18"/>
              </w:rPr>
              <w:t>Preferred Language</w:t>
            </w:r>
          </w:p>
        </w:tc>
        <w:tc>
          <w:tcPr>
            <w:tcW w:type="dxa" w:w="3312"/>
            <w:tcBorders>
              <w:top w:val="single" w:sz="4" w:color="BFBFBF"/>
              <w:left w:val="nil"/>
              <w:bottom w:val="single" w:sz="4" w:color="BFBFBF"/>
              <w:right w:val="nil"/>
            </w:tcBorders>
          </w:tcPr>
          <w:p>
            <w:pPr>
              <w:spacing w:after="0"/>
            </w:pPr>
            <w:r>
              <w:rPr>
                <w:rFonts w:ascii="Arial" w:hAnsi="Arial" w:cs="Arial"/>
                <w:b w:val="0"/>
                <w:i w:val="0"/>
                <w:sz w:val="18"/>
              </w:rPr>
              <w:t>Spanish (interpreter as needed)</w:t>
            </w:r>
          </w:p>
        </w:tc>
        <w:tc>
          <w:tcPr>
            <w:tcW w:type="dxa" w:w="1872"/>
            <w:tcBorders>
              <w:top w:val="single" w:sz="4" w:color="BFBFBF"/>
              <w:left w:val="nil"/>
              <w:bottom w:val="single" w:sz="4" w:color="BFBFBF"/>
              <w:right w:val="nil"/>
            </w:tcBorders>
          </w:tcPr>
          <w:p>
            <w:pPr>
              <w:spacing w:after="0"/>
            </w:pPr>
            <w:r>
              <w:rPr>
                <w:rFonts w:ascii="Arial" w:hAnsi="Arial" w:cs="Arial"/>
                <w:b/>
                <w:i w:val="0"/>
                <w:sz w:val="18"/>
              </w:rPr>
              <w:t>Allergies</w:t>
            </w:r>
          </w:p>
        </w:tc>
        <w:tc>
          <w:tcPr>
            <w:tcW w:type="dxa" w:w="3024"/>
            <w:tcBorders>
              <w:top w:val="single" w:sz="4" w:color="BFBFBF"/>
              <w:left w:val="nil"/>
              <w:bottom w:val="single" w:sz="4" w:color="BFBFBF"/>
              <w:right w:val="nil"/>
            </w:tcBorders>
          </w:tcPr>
          <w:p>
            <w:pPr>
              <w:spacing w:after="0"/>
            </w:pPr>
            <w:r>
              <w:rPr>
                <w:rFonts w:ascii="Arial" w:hAnsi="Arial" w:cs="Arial"/>
                <w:b w:val="0"/>
                <w:i w:val="0"/>
                <w:sz w:val="18"/>
              </w:rPr>
              <w:t>Sulfa (sulfonamide antibiotics) — rash</w:t>
            </w:r>
          </w:p>
        </w:tc>
      </w:tr>
      <w:tr>
        <w:tc>
          <w:tcPr>
            <w:tcW w:type="dxa" w:w="1728"/>
            <w:tcBorders>
              <w:top w:val="single" w:sz="4" w:color="BFBFBF"/>
              <w:left w:val="nil"/>
              <w:bottom w:val="single" w:sz="4" w:color="BFBFBF"/>
              <w:right w:val="nil"/>
            </w:tcBorders>
          </w:tcPr>
          <w:p>
            <w:pPr>
              <w:spacing w:after="0"/>
            </w:pPr>
            <w:r>
              <w:rPr>
                <w:rFonts w:ascii="Arial" w:hAnsi="Arial" w:cs="Arial"/>
                <w:b/>
                <w:i w:val="0"/>
                <w:sz w:val="18"/>
              </w:rPr>
              <w:t>Author</w:t>
            </w:r>
          </w:p>
        </w:tc>
        <w:tc>
          <w:tcPr>
            <w:tcW w:type="dxa" w:w="3312"/>
            <w:tcBorders>
              <w:top w:val="single" w:sz="4" w:color="BFBFBF"/>
              <w:left w:val="nil"/>
              <w:bottom w:val="single" w:sz="4" w:color="BFBFBF"/>
              <w:right w:val="nil"/>
            </w:tcBorders>
          </w:tcPr>
          <w:p>
            <w:pPr>
              <w:spacing w:after="0"/>
            </w:pPr>
            <w:r>
              <w:rPr>
                <w:rFonts w:ascii="Arial" w:hAnsi="Arial" w:cs="Arial"/>
                <w:b w:val="0"/>
                <w:i w:val="0"/>
                <w:sz w:val="18"/>
              </w:rPr>
              <w:t>Floor nursing, 6 South Medicine</w:t>
            </w:r>
          </w:p>
        </w:tc>
        <w:tc>
          <w:tcPr>
            <w:tcW w:type="dxa" w:w="1872"/>
            <w:tcBorders>
              <w:top w:val="single" w:sz="4" w:color="BFBFBF"/>
              <w:left w:val="nil"/>
              <w:bottom w:val="single" w:sz="4" w:color="BFBFBF"/>
              <w:right w:val="nil"/>
            </w:tcBorders>
          </w:tcPr>
          <w:p>
            <w:pPr>
              <w:spacing w:after="0"/>
            </w:pPr>
            <w:r>
              <w:rPr>
                <w:rFonts w:ascii="Arial" w:hAnsi="Arial" w:cs="Arial"/>
                <w:b/>
                <w:i w:val="0"/>
                <w:sz w:val="18"/>
              </w:rPr>
              <w:t>Document</w:t>
            </w:r>
          </w:p>
        </w:tc>
        <w:tc>
          <w:tcPr>
            <w:tcW w:type="dxa" w:w="3024"/>
            <w:tcBorders>
              <w:top w:val="single" w:sz="4" w:color="BFBFBF"/>
              <w:left w:val="nil"/>
              <w:bottom w:val="single" w:sz="4" w:color="BFBFBF"/>
              <w:right w:val="nil"/>
            </w:tcBorders>
          </w:tcPr>
          <w:p>
            <w:pPr>
              <w:spacing w:after="0"/>
            </w:pPr>
            <w:r>
              <w:rPr>
                <w:rFonts w:ascii="Arial" w:hAnsi="Arial" w:cs="Arial"/>
                <w:b w:val="0"/>
                <w:i w:val="0"/>
                <w:sz w:val="18"/>
              </w:rPr>
              <w:t>Nursing shift narrative — supplementary entry</w:t>
            </w:r>
          </w:p>
        </w:tc>
      </w:tr>
    </w:tbl>
    <w:p>
      <w:pPr>
        <w:spacing w:before="0" w:after="40"/>
      </w:pPr>
    </w:p>
    <w:p>
      <w:pPr>
        <w:spacing w:before="160" w:after="60"/>
        <w:pBdr>
          <w:bottom w:val="single" w:sz="6" w:space="1" w:color="000000"/>
        </w:pBdr>
      </w:pPr>
      <w:r>
        <w:rPr>
          <w:rFonts w:ascii="Arial" w:hAnsi="Arial" w:cs="Arial"/>
          <w:b/>
          <w:i w:val="0"/>
          <w:sz w:val="20"/>
        </w:rPr>
        <w:t>SHIFT NARRATIVE</w:t>
      </w:r>
    </w:p>
    <w:p>
      <w:pPr>
        <w:spacing w:before="0" w:after="120" w:line="276" w:lineRule="auto"/>
      </w:pPr>
      <w:r>
        <w:rPr>
          <w:rFonts w:ascii="Arial" w:hAnsi="Arial" w:cs="Arial"/>
          <w:b w:val="0"/>
          <w:i w:val="0"/>
          <w:sz w:val="20"/>
        </w:rPr>
        <w:t>Patient resting comfortably throughout the shift, oriented to person, place, and time. Vital signs stable per flowsheet across the shift; trending unremarkable for the patient and consistent with the recorded values entered by nursing on the 05/18/2026 vital signs row. No new symptom complaints elicited at bedside check-ins.</w:t>
      </w:r>
    </w:p>
    <w:p>
      <w:pPr>
        <w:spacing w:before="0" w:after="120" w:line="276" w:lineRule="auto"/>
      </w:pPr>
      <w:r>
        <w:rPr>
          <w:rFonts w:ascii="Arial" w:hAnsi="Arial" w:cs="Arial"/>
          <w:b w:val="0"/>
          <w:i w:val="0"/>
          <w:sz w:val="20"/>
        </w:rPr>
        <w:t>PO intake moderate over the shift — patient took portions of breakfast and lunch trays and accepted oral fluids between meals. No nausea reported. No emesis. Bowel and bladder function continent; voided in the bathroom on each ambulation.</w:t>
      </w:r>
    </w:p>
    <w:p>
      <w:pPr>
        <w:spacing w:before="0" w:after="120" w:line="276" w:lineRule="auto"/>
      </w:pPr>
      <w:r>
        <w:rPr>
          <w:rFonts w:ascii="Arial" w:hAnsi="Arial" w:cs="Arial"/>
          <w:b w:val="0"/>
          <w:i w:val="0"/>
          <w:sz w:val="20"/>
        </w:rPr>
        <w:t>Ambulated to the bathroom with assistance of one and contact-guard, two times this shift. Gait slowed but steady with nursing at the elbow; no near-falls and no reported pain on transfer. Patient returned to bed without difficulty on both occasions.</w:t>
      </w:r>
    </w:p>
    <w:p>
      <w:pPr>
        <w:spacing w:before="0" w:after="120" w:line="276" w:lineRule="auto"/>
      </w:pPr>
      <w:r>
        <w:rPr>
          <w:rFonts w:ascii="Arial" w:hAnsi="Arial" w:cs="Arial"/>
          <w:b w:val="0"/>
          <w:i w:val="0"/>
          <w:sz w:val="20"/>
        </w:rPr>
        <w:t>IV antibiotics infused on schedule per the active MAR; no infusion alarms, no extravasation, IV site clean and intact. Patient denied burning or discomfort at the access site.</w:t>
      </w:r>
    </w:p>
    <w:p>
      <w:pPr>
        <w:spacing w:before="0" w:after="120" w:line="276" w:lineRule="auto"/>
      </w:pPr>
      <w:r>
        <w:rPr>
          <w:rFonts w:ascii="Arial" w:hAnsi="Arial" w:cs="Arial"/>
          <w:b w:val="0"/>
          <w:i w:val="0"/>
          <w:sz w:val="20"/>
        </w:rPr>
        <w:t>Dressing on the left forefoot intact at start and end of shift; no strikethrough noted on the outer layer during routine checks. No new drainage observed on the linens. Wound care interventions per the active plan; no debridement or new wound orders this shift.</w:t>
      </w:r>
    </w:p>
    <w:p>
      <w:pPr>
        <w:spacing w:before="0" w:after="120" w:line="276" w:lineRule="auto"/>
      </w:pPr>
      <w:r>
        <w:rPr>
          <w:rFonts w:ascii="Arial" w:hAnsi="Arial" w:cs="Arial"/>
          <w:b w:val="0"/>
          <w:i w:val="0"/>
          <w:sz w:val="20"/>
        </w:rPr>
        <w:t>Family at bedside in the afternoon — patient's adult daughter visited and remained for approximately two hours. Patient's affect brightened during the visit; conversation in Spanish between patient and daughter, with nursing checking in periodically.</w:t>
      </w:r>
    </w:p>
    <w:p>
      <w:pPr>
        <w:spacing w:before="0" w:after="120" w:line="276" w:lineRule="auto"/>
      </w:pPr>
      <w:r>
        <w:rPr>
          <w:rFonts w:ascii="Arial" w:hAnsi="Arial" w:cs="Arial"/>
          <w:b w:val="0"/>
          <w:i w:val="0"/>
          <w:sz w:val="20"/>
        </w:rPr>
        <w:t>A Spanish interpreter was used briefly during the shift to assist in explaining the MRI of the foot scheduled for the afternoon — purpose of the imaging, what to expect during transport and the scan itself, and post-scan return to the unit. Patient verbalized she had heard the plan and had no further questions at that time.</w:t>
      </w:r>
    </w:p>
    <w:p>
      <w:pPr>
        <w:spacing w:before="0" w:after="120" w:line="276" w:lineRule="auto"/>
      </w:pPr>
      <w:r>
        <w:rPr>
          <w:rFonts w:ascii="Arial" w:hAnsi="Arial" w:cs="Arial"/>
          <w:b w:val="0"/>
          <w:i w:val="0"/>
          <w:sz w:val="20"/>
        </w:rPr>
        <w:t>No acute distress observed at any point this shift. No rapid response or escalation calls. Handoff given to oncoming nursing at end of shift; questions answered at the bedside huddle.</w:t>
      </w:r>
    </w:p>
    <w:p>
      <w:pPr>
        <w:spacing w:before="0" w:after="80"/>
      </w:pPr>
    </w:p>
    <w:p>
      <w:pPr>
        <w:spacing w:before="160" w:after="0"/>
      </w:pPr>
      <w:r>
        <w:rPr>
          <w:rFonts w:ascii="Arial" w:hAnsi="Arial" w:cs="Arial"/>
          <w:b w:val="0"/>
          <w:i/>
          <w:sz w:val="18"/>
        </w:rPr>
        <w:t>Electronically signed by floor nursing, 6 South Medicine, on 05/18/2026 at 1910.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cp:category/>
</cp:coreProperties>
</file>