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2160"/>
      </w:tblGrid>
      <w:tr>
        <w:tc>
          <w:tcPr>
            <w:tcW w:type="dxa" w:w="80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24"/>
              </w:rPr>
              <w:t>Harbor Crest Regional Medical Center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2400 Mariners Bay Boulevard, Cypress Harbor, FL 33421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Main: (561) 555-0100   |   Facility NPI: 1023881744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0"/>
              </w:rPr>
              <w:t>CONFIDENTIAL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Medical Record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</w:rPr>
              <w:t>Page 1 of 1</w:t>
            </w:r>
          </w:p>
        </w:tc>
      </w:tr>
    </w:tbl>
    <w:p>
      <w:pPr>
        <w:spacing w:after="40" w:before="0"/>
      </w:pPr>
    </w:p>
    <w:p>
      <w:pPr>
        <w:spacing w:after="40" w:before="80"/>
        <w:jc w:val="center"/>
      </w:pPr>
      <w:r>
        <w:rPr>
          <w:rFonts w:ascii="Arial" w:hAnsi="Arial"/>
          <w:b/>
          <w:sz w:val="28"/>
        </w:rPr>
        <w:t>MEDICATION HOLD ORDERS — ADMISSION</w:t>
      </w:r>
    </w:p>
    <w:p>
      <w:pPr>
        <w:spacing w:after="40" w:before="0"/>
        <w:jc w:val="center"/>
      </w:pPr>
      <w:r>
        <w:rPr>
          <w:rFonts w:ascii="Arial" w:hAnsi="Arial"/>
          <w:b w:val="0"/>
          <w:sz w:val="20"/>
        </w:rPr>
        <w:t>Order Set: HOLD-OS-05162026 — Admission Medication Hold Orders   |   Status: SIGNED</w:t>
      </w:r>
    </w:p>
    <w:p>
      <w:pPr>
        <w:spacing w:after="120" w:before="0"/>
        <w:jc w:val="center"/>
      </w:pPr>
      <w:r>
        <w:rPr>
          <w:rFonts w:ascii="Arial" w:hAnsi="Arial"/>
          <w:b w:val="0"/>
          <w:sz w:val="20"/>
        </w:rPr>
        <w:t>Date of Service: 05/16/2026   |   Time Entered / Signed: 11:50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2592"/>
        <w:gridCol w:w="2304"/>
        <w:gridCol w:w="2160"/>
      </w:tblGrid>
      <w:tr>
        <w:tc>
          <w:tcPr>
            <w:tcW w:type="dxa" w:w="8064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EEEEE"/>
          </w:tcPr>
          <w:p>
            <w:pPr>
              <w:spacing w:after="0"/>
            </w:pPr>
            <w:r>
              <w:rPr>
                <w:rFonts w:ascii="Arial" w:hAnsi="Arial"/>
                <w:b/>
                <w:sz w:val="24"/>
              </w:rPr>
              <w:t>Vasquell, Ondina</w:t>
            </w:r>
            <w:r>
              <w:rPr>
                <w:rFonts w:ascii="Arial" w:hAnsi="Arial"/>
                <w:sz w:val="20"/>
              </w:rPr>
              <w:t xml:space="preserve">    68 y   |   Female   |   DOB 03/14/1958</w:t>
            </w:r>
          </w:p>
        </w:tc>
        <w:tc>
          <w:tcPr>
            <w:tcW w:type="dxa" w:w="216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EEEEE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0"/>
              </w:rPr>
              <w:t>MRN OV-3358104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FIN FIN-2207733</w:t>
            </w:r>
          </w:p>
        </w:tc>
      </w:tr>
      <w:tr>
        <w:tc>
          <w:tcPr>
            <w:tcW w:type="dxa" w:w="25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Date of Service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05/16/2026  11:50</w:t>
            </w:r>
          </w:p>
        </w:tc>
        <w:tc>
          <w:tcPr>
            <w:tcW w:type="dxa" w:w="25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Attending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Lillian Everet, MD</w:t>
            </w:r>
          </w:p>
        </w:tc>
        <w:tc>
          <w:tcPr>
            <w:tcW w:type="dxa" w:w="25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Allergies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Sulfa — rash</w:t>
            </w:r>
          </w:p>
        </w:tc>
        <w:tc>
          <w:tcPr>
            <w:tcW w:type="dxa" w:w="255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Document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ORDERS</w:t>
            </w:r>
          </w:p>
        </w:tc>
      </w:tr>
    </w:tbl>
    <w:p>
      <w:pPr>
        <w:spacing w:after="40" w:before="0"/>
      </w:pPr>
    </w:p>
    <w:p>
      <w:pPr>
        <w:spacing w:after="60" w:before="80"/>
      </w:pPr>
      <w:r>
        <w:rPr>
          <w:rFonts w:ascii="Arial" w:hAnsi="Arial"/>
          <w:b/>
          <w:sz w:val="22"/>
        </w:rPr>
        <w:t>PATIENT / ENCOUNTER</w:t>
      </w:r>
    </w:p>
    <w:p>
      <w:pPr>
        <w:spacing w:after="20" w:before="0"/>
      </w:pPr>
      <w:r>
        <w:rPr>
          <w:rFonts w:ascii="Arial" w:hAnsi="Arial"/>
          <w:b/>
          <w:sz w:val="20"/>
        </w:rPr>
        <w:t xml:space="preserve">Patient: </w:t>
      </w:r>
      <w:r>
        <w:rPr>
          <w:rFonts w:ascii="Arial" w:hAnsi="Arial"/>
          <w:b w:val="0"/>
          <w:sz w:val="20"/>
        </w:rPr>
        <w:t>Ondina Vasquell</w:t>
      </w:r>
    </w:p>
    <w:p>
      <w:pPr>
        <w:spacing w:after="20" w:before="0"/>
      </w:pPr>
      <w:r>
        <w:rPr>
          <w:rFonts w:ascii="Arial" w:hAnsi="Arial"/>
          <w:b/>
          <w:sz w:val="20"/>
        </w:rPr>
        <w:t xml:space="preserve">Sex / DOB: </w:t>
      </w:r>
      <w:r>
        <w:rPr>
          <w:rFonts w:ascii="Arial" w:hAnsi="Arial"/>
          <w:b w:val="0"/>
          <w:sz w:val="20"/>
        </w:rPr>
        <w:t>Female / 03/14/1958 (Age 68)</w:t>
      </w:r>
    </w:p>
    <w:p>
      <w:pPr>
        <w:spacing w:after="20" w:before="0"/>
      </w:pPr>
      <w:r>
        <w:rPr>
          <w:rFonts w:ascii="Arial" w:hAnsi="Arial"/>
          <w:b/>
          <w:sz w:val="20"/>
        </w:rPr>
        <w:t xml:space="preserve">MRN: </w:t>
      </w:r>
      <w:r>
        <w:rPr>
          <w:rFonts w:ascii="Arial" w:hAnsi="Arial"/>
          <w:b w:val="0"/>
          <w:sz w:val="20"/>
        </w:rPr>
        <w:t>OV-3358104</w:t>
      </w:r>
    </w:p>
    <w:p>
      <w:pPr>
        <w:spacing w:after="20" w:before="0"/>
      </w:pPr>
      <w:r>
        <w:rPr>
          <w:rFonts w:ascii="Arial" w:hAnsi="Arial"/>
          <w:b/>
          <w:sz w:val="20"/>
        </w:rPr>
        <w:t xml:space="preserve">FIN: </w:t>
      </w:r>
      <w:r>
        <w:rPr>
          <w:rFonts w:ascii="Arial" w:hAnsi="Arial"/>
          <w:b w:val="0"/>
          <w:sz w:val="20"/>
        </w:rPr>
        <w:t>FIN-2207733</w:t>
      </w:r>
    </w:p>
    <w:p>
      <w:pPr>
        <w:spacing w:after="20" w:before="0"/>
      </w:pPr>
      <w:r>
        <w:rPr>
          <w:rFonts w:ascii="Arial" w:hAnsi="Arial"/>
          <w:b/>
          <w:sz w:val="20"/>
        </w:rPr>
        <w:t xml:space="preserve">Unit / Room: </w:t>
      </w:r>
      <w:r>
        <w:rPr>
          <w:rFonts w:ascii="Arial" w:hAnsi="Arial"/>
          <w:b w:val="0"/>
          <w:sz w:val="20"/>
        </w:rPr>
        <w:t>6 South Medicine / 6S-214</w:t>
      </w:r>
    </w:p>
    <w:p>
      <w:pPr>
        <w:spacing w:after="20" w:before="0"/>
      </w:pPr>
      <w:r>
        <w:rPr>
          <w:rFonts w:ascii="Arial" w:hAnsi="Arial"/>
          <w:b/>
          <w:sz w:val="20"/>
        </w:rPr>
        <w:t xml:space="preserve">Code Status: </w:t>
      </w:r>
      <w:r>
        <w:rPr>
          <w:rFonts w:ascii="Arial" w:hAnsi="Arial"/>
          <w:b w:val="0"/>
          <w:sz w:val="20"/>
        </w:rPr>
        <w:t>Full Code</w:t>
      </w:r>
    </w:p>
    <w:p>
      <w:pPr>
        <w:spacing w:after="20" w:before="0"/>
      </w:pPr>
      <w:r>
        <w:rPr>
          <w:rFonts w:ascii="Arial" w:hAnsi="Arial"/>
          <w:b/>
          <w:sz w:val="20"/>
        </w:rPr>
        <w:t xml:space="preserve">Allergies: </w:t>
      </w:r>
      <w:r>
        <w:rPr>
          <w:rFonts w:ascii="Arial" w:hAnsi="Arial"/>
          <w:b w:val="0"/>
          <w:sz w:val="20"/>
        </w:rPr>
        <w:t>Sulfa (sulfonamide antibiotics) — rash</w:t>
      </w:r>
    </w:p>
    <w:p>
      <w:pPr>
        <w:spacing w:after="20" w:before="0"/>
      </w:pPr>
      <w:r>
        <w:rPr>
          <w:rFonts w:ascii="Arial" w:hAnsi="Arial"/>
          <w:b/>
          <w:sz w:val="20"/>
        </w:rPr>
        <w:t xml:space="preserve">Service: </w:t>
      </w:r>
      <w:r>
        <w:rPr>
          <w:rFonts w:ascii="Arial" w:hAnsi="Arial"/>
          <w:b w:val="0"/>
          <w:sz w:val="20"/>
        </w:rPr>
        <w:t>Hospital Medicine</w:t>
      </w:r>
    </w:p>
    <w:p>
      <w:pPr>
        <w:spacing w:after="20" w:before="0"/>
      </w:pPr>
      <w:r>
        <w:rPr>
          <w:rFonts w:ascii="Arial" w:hAnsi="Arial"/>
          <w:b/>
          <w:sz w:val="20"/>
        </w:rPr>
        <w:t xml:space="preserve">Attending of Record: </w:t>
      </w:r>
      <w:r>
        <w:rPr>
          <w:rFonts w:ascii="Arial" w:hAnsi="Arial"/>
          <w:b w:val="0"/>
          <w:sz w:val="20"/>
        </w:rPr>
        <w:t>Lillian Everet, MD</w:t>
      </w:r>
    </w:p>
    <w:p>
      <w:pPr>
        <w:spacing w:after="20" w:before="0"/>
      </w:pPr>
      <w:r>
        <w:rPr>
          <w:rFonts w:ascii="Arial" w:hAnsi="Arial"/>
          <w:b/>
          <w:sz w:val="20"/>
        </w:rPr>
        <w:t xml:space="preserve">Language: </w:t>
      </w:r>
      <w:r>
        <w:rPr>
          <w:rFonts w:ascii="Arial" w:hAnsi="Arial"/>
          <w:b w:val="0"/>
          <w:sz w:val="20"/>
        </w:rPr>
        <w:t>Spanish preferred (interpreter used at admission)</w:t>
      </w:r>
    </w:p>
    <w:p>
      <w:pPr>
        <w:spacing w:after="60" w:before="160"/>
      </w:pPr>
      <w:r>
        <w:rPr>
          <w:rFonts w:ascii="Arial" w:hAnsi="Arial"/>
          <w:b/>
          <w:sz w:val="22"/>
        </w:rPr>
        <w:t>CLINICAL CONTEXT</w:t>
      </w:r>
    </w:p>
    <w:p>
      <w:pPr>
        <w:spacing w:after="40" w:before="0"/>
      </w:pPr>
      <w:r>
        <w:rPr>
          <w:rFonts w:ascii="Arial" w:hAnsi="Arial"/>
          <w:sz w:val="20"/>
        </w:rPr>
        <w:t>Patient admitted from the Emergency Department on 05/16/2026 with a limb-threatening left diabetic foot infection and acute kidney injury superimposed on baseline CKD stage 3b. Admission serum creatinine 2.1 mg/dL (outpatient baseline 1.5 mg/dL); admission eGFR approximately 26 mL/min/1.73 m². Empiric broad-spectrum antibiotic therapy initiated. The following home oral agents are being held on admission pending renal recovery and resolution of acute illness. </w:t>
      </w:r>
    </w:p>
    <w:p>
      <w:pPr>
        <w:spacing w:after="60" w:before="160"/>
      </w:pPr>
      <w:r>
        <w:rPr>
          <w:rFonts w:ascii="Arial" w:hAnsi="Arial"/>
          <w:b/>
          <w:sz w:val="22"/>
        </w:rPr>
        <w:t>HELD MEDICATIONS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1152"/>
        <w:gridCol w:w="5616"/>
      </w:tblGrid>
      <w:tr>
        <w:tc>
          <w:tcPr>
            <w:tcW w:type="dxa" w:w="331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DDDDD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Medication</w:t>
            </w:r>
          </w:p>
        </w:tc>
        <w:tc>
          <w:tcPr>
            <w:tcW w:type="dxa" w:w="115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DDDDD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561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DDDDD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Reason</w:t>
            </w:r>
          </w:p>
        </w:tc>
      </w:tr>
      <w:tr>
        <w:tc>
          <w:tcPr>
            <w:tcW w:type="dxa" w:w="331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Metformin 500 mg PO BID</w:t>
            </w:r>
          </w:p>
        </w:tc>
        <w:tc>
          <w:tcPr>
            <w:tcW w:type="dxa" w:w="115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HOLD</w:t>
            </w:r>
          </w:p>
        </w:tc>
        <w:tc>
          <w:tcPr>
            <w:tcW w:type="dxa" w:w="561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AKI on CKD; eGFR near 30 threshold; lactic acidosis risk in acute infection.</w:t>
            </w:r>
          </w:p>
        </w:tc>
      </w:tr>
      <w:tr>
        <w:tc>
          <w:tcPr>
            <w:tcW w:type="dxa" w:w="331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Empagliflozin 10 mg PO daily</w:t>
            </w:r>
          </w:p>
        </w:tc>
        <w:tc>
          <w:tcPr>
            <w:tcW w:type="dxa" w:w="115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HOLD</w:t>
            </w:r>
          </w:p>
        </w:tc>
        <w:tc>
          <w:tcPr>
            <w:tcW w:type="dxa" w:w="561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Acute infection with euglycemic DKA risk; volume status uncertain.</w:t>
            </w:r>
          </w:p>
        </w:tc>
      </w:tr>
      <w:tr>
        <w:tc>
          <w:tcPr>
            <w:tcW w:type="dxa" w:w="331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Lisinopril 20 mg PO daily</w:t>
            </w:r>
          </w:p>
        </w:tc>
        <w:tc>
          <w:tcPr>
            <w:tcW w:type="dxa" w:w="115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HOLD</w:t>
            </w:r>
          </w:p>
        </w:tc>
        <w:tc>
          <w:tcPr>
            <w:tcW w:type="dxa" w:w="561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AKI on CKD 3b; risk of further renal injury during acute illness.</w:t>
            </w:r>
          </w:p>
        </w:tc>
      </w:tr>
    </w:tbl>
    <w:p>
      <w:pPr>
        <w:spacing w:after="40" w:before="0"/>
      </w:pPr>
    </w:p>
    <w:p>
      <w:pPr>
        <w:spacing w:after="40" w:before="120"/>
      </w:pPr>
      <w:r>
        <w:rPr>
          <w:rFonts w:ascii="Arial" w:hAnsi="Arial"/>
          <w:b/>
          <w:sz w:val="20"/>
        </w:rPr>
        <w:t>ORDER 1</w:t>
      </w:r>
    </w:p>
    <w:p>
      <w:pPr>
        <w:spacing w:after="40" w:before="0"/>
      </w:pPr>
      <w:r>
        <w:rPr>
          <w:rFonts w:ascii="Arial" w:hAnsi="Arial"/>
          <w:sz w:val="20"/>
        </w:rPr>
        <w:t>HOLD metformin 500 mg PO BID.</w:t>
      </w:r>
    </w:p>
    <w:p>
      <w:pPr>
        <w:spacing w:after="40" w:before="0"/>
        <w:ind w:left="360"/>
      </w:pPr>
      <w:r>
        <w:rPr>
          <w:rFonts w:ascii="Arial" w:hAnsi="Arial"/>
          <w:b/>
          <w:sz w:val="20"/>
        </w:rPr>
        <w:t xml:space="preserve">Indication on home regimen:  </w:t>
      </w:r>
      <w:r>
        <w:rPr>
          <w:rFonts w:ascii="Arial" w:hAnsi="Arial"/>
          <w:sz w:val="20"/>
        </w:rPr>
        <w:t>Type 2 diabetes mellitus.</w:t>
      </w:r>
    </w:p>
    <w:p>
      <w:pPr>
        <w:spacing w:after="40" w:before="0"/>
        <w:ind w:left="360"/>
      </w:pPr>
      <w:r>
        <w:rPr>
          <w:rFonts w:ascii="Arial" w:hAnsi="Arial"/>
          <w:b/>
          <w:sz w:val="20"/>
        </w:rPr>
        <w:t xml:space="preserve">Reason for hold:  </w:t>
      </w:r>
      <w:r>
        <w:rPr>
          <w:rFonts w:ascii="Arial" w:hAnsi="Arial"/>
          <w:sz w:val="20"/>
        </w:rPr>
        <w:t>AKI on CKD with admission creatinine 2.1 (baseline 1.5); eGFR approaching 30 mg/dL threshold; risk of lactic acidosis in acute infection.</w:t>
      </w:r>
    </w:p>
    <w:p>
      <w:pPr>
        <w:spacing w:after="40" w:before="0"/>
        <w:ind w:left="360"/>
      </w:pPr>
      <w:r>
        <w:t xml:space="preserve">Inpatient management: Glycemic control to be maintained with the inpatient insulin regimen (basal glargine plus prandial aspart per protocol).</w:t>
      </w:r>
    </w:p>
    <w:p>
      <w:pPr>
        <w:spacing w:after="40" w:before="120"/>
      </w:pPr>
      <w:r>
        <w:rPr>
          <w:rFonts w:ascii="Arial" w:hAnsi="Arial"/>
          <w:b/>
          <w:sz w:val="20"/>
        </w:rPr>
        <w:t>ORDER 2</w:t>
      </w:r>
    </w:p>
    <w:p>
      <w:pPr>
        <w:spacing w:after="40" w:before="0"/>
      </w:pPr>
      <w:r>
        <w:rPr>
          <w:rFonts w:ascii="Arial" w:hAnsi="Arial"/>
          <w:sz w:val="20"/>
        </w:rPr>
        <w:t>HOLD empagliflozin 10 mg PO daily.</w:t>
      </w:r>
    </w:p>
    <w:p>
      <w:pPr>
        <w:spacing w:after="40" w:before="0"/>
        <w:ind w:left="360"/>
      </w:pPr>
      <w:r>
        <w:rPr>
          <w:rFonts w:ascii="Arial" w:hAnsi="Arial"/>
          <w:b/>
          <w:sz w:val="20"/>
        </w:rPr>
        <w:t xml:space="preserve">Indication on home regimen:  </w:t>
      </w:r>
      <w:r>
        <w:rPr>
          <w:rFonts w:ascii="Arial" w:hAnsi="Arial"/>
          <w:sz w:val="20"/>
        </w:rPr>
        <w:t>Type 2 diabetes mellitus; HFpEF; CKD.</w:t>
      </w:r>
    </w:p>
    <w:p>
      <w:pPr>
        <w:spacing w:after="40" w:before="0"/>
        <w:ind w:left="360"/>
      </w:pPr>
      <w:r>
        <w:rPr>
          <w:rFonts w:ascii="Arial" w:hAnsi="Arial"/>
          <w:b/>
          <w:sz w:val="20"/>
        </w:rPr>
        <w:t xml:space="preserve">Reason for hold:  </w:t>
      </w:r>
      <w:r>
        <w:rPr>
          <w:rFonts w:ascii="Arial" w:hAnsi="Arial"/>
          <w:sz w:val="20"/>
        </w:rPr>
        <w:t>Acute infection with euglycemic DKA risk; volume status uncertain; reinitiation requires stable outpatient context.</w:t>
      </w:r>
    </w:p>
    <w:p>
      <w:pPr>
        <w:spacing w:after="40" w:before="0"/>
        <w:ind w:left="360"/>
      </w:pPr>
      <w:r>
        <w:t xml:space="preserve">Inpatient management: Inpatient glycemic control to be maintained with insulin; volume status to be managed by the primary team.</w:t>
      </w:r>
    </w:p>
    <w:p>
      <w:pPr>
        <w:spacing w:after="40" w:before="120"/>
      </w:pPr>
      <w:r>
        <w:rPr>
          <w:rFonts w:ascii="Arial" w:hAnsi="Arial"/>
          <w:b/>
          <w:sz w:val="20"/>
        </w:rPr>
        <w:t>ORDER 3</w:t>
      </w:r>
    </w:p>
    <w:p>
      <w:pPr>
        <w:spacing w:after="40" w:before="0"/>
      </w:pPr>
      <w:r>
        <w:rPr>
          <w:rFonts w:ascii="Arial" w:hAnsi="Arial"/>
          <w:sz w:val="20"/>
        </w:rPr>
        <w:t>HOLD lisinopril 20 mg PO daily.</w:t>
      </w:r>
    </w:p>
    <w:p>
      <w:pPr>
        <w:spacing w:after="40" w:before="0"/>
        <w:ind w:left="360"/>
      </w:pPr>
      <w:r>
        <w:rPr>
          <w:rFonts w:ascii="Arial" w:hAnsi="Arial"/>
          <w:b/>
          <w:sz w:val="20"/>
        </w:rPr>
        <w:t xml:space="preserve">Indication on home regimen:  </w:t>
      </w:r>
      <w:r>
        <w:rPr>
          <w:rFonts w:ascii="Arial" w:hAnsi="Arial"/>
          <w:sz w:val="20"/>
        </w:rPr>
        <w:t>Hypertension; CKD.</w:t>
      </w:r>
    </w:p>
    <w:p>
      <w:pPr>
        <w:spacing w:after="40" w:before="0"/>
        <w:ind w:left="360"/>
      </w:pPr>
      <w:r>
        <w:rPr>
          <w:rFonts w:ascii="Arial" w:hAnsi="Arial"/>
          <w:b/>
          <w:sz w:val="20"/>
        </w:rPr>
        <w:t xml:space="preserve">Reason for hold:  </w:t>
      </w:r>
      <w:r>
        <w:rPr>
          <w:rFonts w:ascii="Arial" w:hAnsi="Arial"/>
          <w:sz w:val="20"/>
        </w:rPr>
        <w:t>AKI on CKD 3b; risk of further renal injury with ACE inhibition during acute illness.</w:t>
      </w:r>
    </w:p>
    <w:p>
      <w:pPr>
        <w:spacing w:after="40" w:before="0"/>
        <w:ind w:left="360"/>
      </w:pPr>
      <w:r>
        <w:t xml:space="preserve">Inpatient management: Inpatient blood pressure to be monitored on the vital-signs flowsheet; treat acute hypertension per attending discretion if it arises.</w:t>
      </w:r>
    </w:p>
    <w:p>
      <w:pPr>
        <w:spacing w:after="60" w:before="160"/>
      </w:pPr>
      <w:r>
        <w:rPr>
          <w:rFonts w:ascii="Arial" w:hAnsi="Arial"/>
          <w:b/>
          <w:sz w:val="22"/>
        </w:rPr>
        <w:t>COMMUNICATION AND HANDOFF</w:t>
      </w:r>
    </w:p>
    <w:p>
      <w:pPr>
        <w:spacing w:after="40" w:before="0"/>
        <w:ind w:left="360"/>
      </w:pPr>
      <w:r>
        <w:rPr>
          <w:rFonts w:ascii="Arial" w:hAnsi="Arial"/>
          <w:sz w:val="20"/>
        </w:rPr>
        <w:t xml:space="preserve">•  </w:t>
      </w:r>
      <w:r>
        <w:rPr>
          <w:rFonts w:ascii="Arial" w:hAnsi="Arial"/>
          <w:sz w:val="20"/>
        </w:rPr>
        <w:t>Holds and rationale to be carried forward on the inpatient MAR with the explicit annotation "HELD per admission medication hold orders (05/16/2026)."</w:t>
      </w:r>
    </w:p>
    <w:p>
      <w:pPr>
        <w:spacing w:after="40" w:before="0"/>
        <w:ind w:left="360"/>
      </w:pPr>
      <w:r>
        <w:rPr>
          <w:rFonts w:ascii="Arial" w:hAnsi="Arial"/>
          <w:sz w:val="20"/>
        </w:rPr>
        <w:t xml:space="preserve">•  </w:t>
      </w:r>
      <w:r>
        <w:rPr>
          <w:rFonts w:ascii="Arial" w:hAnsi="Arial"/>
          <w:sz w:val="20"/>
        </w:rPr>
        <w:t>Inpatient pharmacy notified for renal-dose review of all continued agents against current creatinine.</w:t>
      </w:r>
    </w:p>
    <w:p>
      <w:pPr>
        <w:spacing w:after="40" w:before="0"/>
        <w:ind w:left="360"/>
      </w:pPr>
      <w:r>
        <w:t xml:space="preserve">
</w:t>
      </w:r>
    </w:p>
    <w:p>
      <w:pPr>
        <w:spacing w:after="40" w:before="0"/>
        <w:ind w:left="360"/>
      </w:pPr>
      <w:r>
        <w:rPr>
          <w:rFonts w:ascii="Arial" w:hAnsi="Arial"/>
          <w:sz w:val="20"/>
        </w:rPr>
        <w:t xml:space="preserve">•  </w:t>
      </w:r>
      <w:r>
        <w:rPr>
          <w:rFonts w:ascii="Arial" w:hAnsi="Arial"/>
          <w:sz w:val="20"/>
        </w:rPr>
        <w:t>Patient and daughter (Marisela Vasquell) informed via interpreter that her three oral home agents are being held and that her diabetes will be managed with insulin during the admission; written instructions to follow at discharge.</w:t>
      </w:r>
    </w:p>
    <w:p>
      <w:pPr>
        <w:spacing w:after="60" w:before="200"/>
      </w:pPr>
      <w:r>
        <w:rPr>
          <w:rFonts w:ascii="Arial" w:hAnsi="Arial"/>
          <w:b/>
          <w:sz w:val="22"/>
        </w:rPr>
        <w:t>ORDER AUTHENTICATION</w:t>
      </w:r>
    </w:p>
    <w:p>
      <w:pPr>
        <w:spacing w:after="40" w:before="0"/>
      </w:pPr>
      <w:r>
        <w:rPr>
          <w:rFonts w:ascii="Arial" w:hAnsi="Arial"/>
          <w:sz w:val="20"/>
        </w:rPr>
        <w:t>Electronically signed:</w:t>
      </w:r>
    </w:p>
    <w:p>
      <w:pPr>
        <w:spacing w:after="40" w:before="0"/>
      </w:pPr>
    </w:p>
    <w:p>
      <w:pPr>
        <w:spacing w:after="0"/>
      </w:pPr>
      <w:r>
        <w:rPr>
          <w:rFonts w:ascii="Arial" w:hAnsi="Arial"/>
          <w:b/>
          <w:sz w:val="20"/>
        </w:rPr>
        <w:t>Lillian Everet, MD</w:t>
      </w:r>
    </w:p>
    <w:p>
      <w:pPr>
        <w:spacing w:after="0"/>
      </w:pPr>
      <w:r>
        <w:rPr>
          <w:rFonts w:ascii="Arial" w:hAnsi="Arial"/>
          <w:sz w:val="20"/>
        </w:rPr>
        <w:t>Hospitalist Attending — Hospital Medicine</w:t>
      </w:r>
    </w:p>
    <w:p>
      <w:pPr>
        <w:spacing w:after="0"/>
      </w:pPr>
      <w:r>
        <w:rPr>
          <w:rFonts w:ascii="Arial" w:hAnsi="Arial"/>
          <w:sz w:val="20"/>
        </w:rPr>
        <w:t>NPI: 1457629831</w:t>
      </w:r>
    </w:p>
    <w:p>
      <w:pPr>
        <w:spacing w:after="0"/>
      </w:pPr>
      <w:r>
        <w:rPr>
          <w:rFonts w:ascii="Arial" w:hAnsi="Arial"/>
          <w:sz w:val="20"/>
        </w:rPr>
        <w:t>Pager: (561) 555-0511</w:t>
      </w:r>
    </w:p>
    <w:p>
      <w:pPr>
        <w:spacing w:after="0"/>
      </w:pPr>
      <w:r>
        <w:rPr>
          <w:rFonts w:ascii="Arial" w:hAnsi="Arial"/>
          <w:sz w:val="20"/>
        </w:rPr>
        <w:t>Signed: 05/16/2026  11:50</w:t>
      </w:r>
    </w:p>
    <w:p>
      <w:pPr>
        <w:spacing w:after="40" w:before="0"/>
      </w:pPr>
    </w:p>
    <w:p>
      <w:pPr>
        <w:spacing w:after="0"/>
      </w:pPr>
      <w:r>
        <w:rPr>
          <w:rFonts w:ascii="Arial" w:hAnsi="Arial"/>
          <w:i/>
          <w:sz w:val="18"/>
        </w:rPr>
        <w:t>Order set: HOLD-OS-05162026 — Admission Medication Hold Orders</w:t>
      </w:r>
    </w:p>
    <w:p>
      <w:pPr>
        <w:spacing w:after="0"/>
      </w:pPr>
      <w:r>
        <w:rPr>
          <w:rFonts w:ascii="Arial" w:hAnsi="Arial"/>
          <w:i/>
          <w:sz w:val="18"/>
        </w:rPr>
        <w:t>Patient: Vasquell, Ondina  |  MRN OV-3358104  |  FIN-2207733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