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024"/>
      </w:tblGrid>
      <w:tr>
        <w:tc>
          <w:tcPr>
            <w:tcW w:type="dxa" w:w="7200"/>
            <w:shd w:val="clear" w:color="auto" w:fill="1F3A5F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i w:val="0"/>
                <w:color w:val="FFFFFF"/>
                <w:sz w:val="22"/>
              </w:rPr>
              <w:t>Harbor Crest Regional Medical Center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before="40" w:after="40"/>
              <w:jc w:val="right"/>
            </w:pPr>
            <w:r>
              <w:rPr>
                <w:rFonts w:ascii="Arial" w:hAnsi="Arial" w:cs="Arial"/>
                <w:b/>
                <w:i w:val="0"/>
                <w:color w:val="FFFFFF"/>
                <w:sz w:val="22"/>
              </w:rPr>
              <w:t>Confidential</w:t>
            </w:r>
          </w:p>
        </w:tc>
      </w:tr>
    </w:tbl>
    <w:p>
      <w:pPr>
        <w:spacing w:before="120" w:after="0"/>
        <w:jc w:val="left"/>
      </w:pPr>
      <w:r>
        <w:rPr>
          <w:rFonts w:ascii="Arial" w:hAnsi="Arial" w:cs="Arial"/>
          <w:b/>
          <w:i w:val="0"/>
          <w:sz w:val="28"/>
        </w:rPr>
        <w:t>PRELIMINARY DISCHARGE ORDER SET</w:t>
      </w:r>
    </w:p>
    <w:p>
      <w:pPr>
        <w:spacing w:before="0" w:after="80"/>
      </w:pPr>
      <w:r>
        <w:rPr>
          <w:rFonts w:ascii="Arial" w:hAnsi="Arial" w:cs="Arial"/>
          <w:b/>
          <w:i/>
          <w:sz w:val="20"/>
        </w:rPr>
        <w:t>UNRECONCILED DRAFT — pending attending reconciliation</w:t>
      </w:r>
    </w:p>
    <w:p>
      <w:pPr>
        <w:spacing w:before="0" w:after="20"/>
      </w:pPr>
      <w:r>
        <w:rPr>
          <w:rFonts w:ascii="Arial" w:hAnsi="Arial" w:cs="Arial"/>
          <w:b w:val="0"/>
          <w:i w:val="0"/>
          <w:sz w:val="16"/>
        </w:rPr>
        <w:t>2400 Mariners Bay Boulevard, Cypress Harbor, FL 33421  |  Main: (561) 555-0100  |  Facility NPI 1023881744</w:t>
      </w:r>
    </w:p>
    <w:p>
      <w:pPr>
        <w:spacing w:before="0" w:after="80"/>
      </w:pPr>
      <w:r>
        <w:rPr>
          <w:rFonts w:ascii="Arial" w:hAnsi="Arial" w:cs="Arial"/>
          <w:b w:val="0"/>
          <w:i w:val="0"/>
          <w:sz w:val="16"/>
        </w:rPr>
        <w:t>Unit: 6 South Medicine — Room 6S-214  |  Service: Hospital Medicine</w:t>
      </w:r>
    </w:p>
    <w:p>
      <w:pPr>
        <w:spacing w:before="0" w:after="120"/>
      </w:pPr>
      <w:r>
        <w:rPr>
          <w:rFonts w:ascii="Arial" w:hAnsi="Arial" w:cs="Arial"/>
          <w:b/>
          <w:i w:val="0"/>
          <w:sz w:val="16"/>
        </w:rPr>
        <w:t xml:space="preserve">Prepared by: </w:t>
      </w:r>
      <w:r>
        <w:rPr>
          <w:rFonts w:ascii="Arial" w:hAnsi="Arial" w:cs="Arial"/>
          <w:b w:val="0"/>
          <w:i w:val="0"/>
          <w:sz w:val="16"/>
        </w:rPr>
        <w:t xml:space="preserve">Tobias Renquist, MD, PGY-2 (Hospital Medicine, overnight)  |  </w:t>
      </w:r>
      <w:r>
        <w:rPr>
          <w:rFonts w:ascii="Arial" w:hAnsi="Arial" w:cs="Arial"/>
          <w:b/>
          <w:i w:val="0"/>
          <w:sz w:val="16"/>
        </w:rPr>
        <w:t xml:space="preserve">For reconciliation by: </w:t>
      </w:r>
      <w:r>
        <w:rPr>
          <w:rFonts w:ascii="Arial" w:hAnsi="Arial" w:cs="Arial"/>
          <w:b w:val="0"/>
          <w:i w:val="0"/>
          <w:sz w:val="16"/>
        </w:rPr>
        <w:t xml:space="preserve">Lillian Everet, MD  |  </w:t>
      </w:r>
      <w:r>
        <w:rPr>
          <w:rFonts w:ascii="Arial" w:hAnsi="Arial" w:cs="Arial"/>
          <w:b/>
          <w:i w:val="0"/>
          <w:sz w:val="16"/>
        </w:rPr>
        <w:t xml:space="preserve">Date / time prepared: </w:t>
      </w:r>
      <w:r>
        <w:rPr>
          <w:rFonts w:ascii="Arial" w:hAnsi="Arial" w:cs="Arial"/>
          <w:b w:val="0"/>
          <w:i w:val="0"/>
          <w:sz w:val="16"/>
        </w:rPr>
        <w:t xml:space="preserve">05/21/2026, 23:48  |  </w:t>
      </w:r>
      <w:r>
        <w:rPr>
          <w:rFonts w:ascii="Arial" w:hAnsi="Arial" w:cs="Arial"/>
          <w:b/>
          <w:i w:val="0"/>
          <w:sz w:val="16"/>
        </w:rPr>
        <w:t xml:space="preserve">Status: </w:t>
      </w:r>
      <w:r>
        <w:rPr>
          <w:rFonts w:ascii="Arial" w:hAnsi="Arial" w:cs="Arial"/>
          <w:b w:val="0"/>
          <w:i w:val="0"/>
          <w:sz w:val="16"/>
        </w:rPr>
        <w:t>DRAFT — UNRECONCILED — NOT SIGNED FOR RELEASE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68"/>
        <w:gridCol w:w="2592"/>
        <w:gridCol w:w="2448"/>
        <w:gridCol w:w="2016"/>
      </w:tblGrid>
      <w:tr>
        <w:tc>
          <w:tcPr>
            <w:tcW w:type="dxa" w:w="7668"/>
            <w:gridSpan w:val="3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sz w:val="20"/>
              </w:rPr>
              <w:t xml:space="preserve">  Ondina Vasquell   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68 y  |  Female  |  DOB 03/14/1958</w:t>
            </w:r>
          </w:p>
        </w:tc>
        <w:tc>
          <w:tcPr>
            <w:tcW w:type="dxa" w:w="2556"/>
            <w:shd w:val="clear" w:color="auto" w:fill="E8EEF5"/>
          </w:tcPr>
          <w:p>
            <w:pPr>
              <w:spacing w:before="20" w:after="20"/>
              <w:jc w:val="right"/>
            </w:pPr>
            <w:r>
              <w:rPr>
                <w:rFonts w:ascii="Arial" w:hAnsi="Arial" w:cs="Arial"/>
                <w:b/>
                <w:i w:val="0"/>
                <w:sz w:val="20"/>
              </w:rPr>
              <w:t xml:space="preserve">MRN OV-3358104  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i w:val="0"/>
                <w:sz w:val="16"/>
              </w:rPr>
              <w:t>Date Prepared</w:t>
              <w:br/>
            </w:r>
            <w:r>
              <w:rPr>
                <w:rFonts w:ascii="Arial" w:hAnsi="Arial" w:cs="Arial"/>
                <w:b w:val="0"/>
                <w:i w:val="0"/>
                <w:sz w:val="18"/>
              </w:rPr>
              <w:t>05/21/2026 23:48</w:t>
            </w:r>
          </w:p>
        </w:tc>
        <w:tc>
          <w:tcPr>
            <w:tcW w:type="dxa" w:w="2556"/>
            <w:vAlign w:val="top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i w:val="0"/>
                <w:sz w:val="16"/>
              </w:rPr>
              <w:t>Prepared by</w:t>
              <w:br/>
            </w:r>
            <w:r>
              <w:rPr>
                <w:rFonts w:ascii="Arial" w:hAnsi="Arial" w:cs="Arial"/>
                <w:b w:val="0"/>
                <w:i w:val="0"/>
                <w:sz w:val="18"/>
              </w:rPr>
              <w:t>Tobias Renquist, MD (PGY-2)</w:t>
            </w:r>
          </w:p>
        </w:tc>
        <w:tc>
          <w:tcPr>
            <w:tcW w:type="dxa" w:w="2556"/>
            <w:vAlign w:val="top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i w:val="0"/>
                <w:sz w:val="16"/>
              </w:rPr>
              <w:t>Allergies</w:t>
              <w:br/>
            </w:r>
            <w:r>
              <w:rPr>
                <w:rFonts w:ascii="Arial" w:hAnsi="Arial" w:cs="Arial"/>
                <w:b w:val="0"/>
                <w:i w:val="0"/>
                <w:sz w:val="18"/>
              </w:rPr>
              <w:t>Sulfa (sulfonamide antibiotics) — rash</w:t>
            </w:r>
          </w:p>
        </w:tc>
        <w:tc>
          <w:tcPr>
            <w:tcW w:type="dxa" w:w="2556"/>
            <w:vAlign w:val="top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i w:val="0"/>
                <w:sz w:val="16"/>
              </w:rPr>
              <w:t>Document</w:t>
              <w:br/>
            </w:r>
            <w:r>
              <w:rPr>
                <w:rFonts w:ascii="Arial" w:hAnsi="Arial" w:cs="Arial"/>
                <w:b w:val="0"/>
                <w:i w:val="0"/>
                <w:sz w:val="18"/>
              </w:rPr>
              <w:t>DRAFT ORDERS</w:t>
            </w:r>
          </w:p>
        </w:tc>
      </w:tr>
    </w:tbl>
    <w:p>
      <w:pPr>
        <w:spacing w:before="0"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sz w:val="18"/>
              </w:rPr>
              <w:t xml:space="preserve">FIN: 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>FIN-2207733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sz w:val="18"/>
              </w:rPr>
              <w:t xml:space="preserve">Code Status: 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>Full Code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sz w:val="18"/>
              </w:rPr>
              <w:t xml:space="preserve">Unit / Room: 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>6 South Medicine / 6S-214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sz w:val="18"/>
              </w:rPr>
              <w:t xml:space="preserve">Service: 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>Hospital Medicine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sz w:val="18"/>
              </w:rPr>
              <w:t xml:space="preserve">Attending of record: 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>Lillian Everet, MD (NPI 1457629831)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sz w:val="18"/>
              </w:rPr>
              <w:t xml:space="preserve">Resident NPI: 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>1659430275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sz w:val="18"/>
              </w:rPr>
              <w:t xml:space="preserve">Language: 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>Spanish preferred (interpreter required)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sz w:val="18"/>
              </w:rPr>
              <w:t xml:space="preserve">Status: </w:t>
            </w:r>
            <w:r>
              <w:rPr>
                <w:rFonts w:ascii="Arial" w:hAnsi="Arial" w:cs="Arial"/>
                <w:b w:val="0"/>
                <w:i w:val="0"/>
                <w:sz w:val="18"/>
              </w:rPr>
              <w:t>DRAFT — UNRECONCILED — not signed for release</w:t>
            </w:r>
          </w:p>
        </w:tc>
      </w:tr>
    </w:tbl>
    <w:p>
      <w:pPr>
        <w:spacing w:before="0"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t xml:space="preserve">ALLERGY: Sulfa (sulfonamide antibiotics) — rash. Avoid sulfonamide antibiotics.
</w:t>
            </w:r>
          </w:p>
        </w:tc>
      </w:tr>
    </w:tbl>
    <w:p>
      <w:pPr>
        <w:spacing w:before="160" w:after="40"/>
      </w:pPr>
      <w:r>
        <w:rPr>
          <w:rFonts w:ascii="Arial" w:hAnsi="Arial" w:cs="Arial"/>
          <w:b/>
          <w:i w:val="0"/>
          <w:sz w:val="22"/>
        </w:rPr>
        <w:t>PURPOSE</w:t>
      </w:r>
    </w:p>
    <w:p>
      <w:pPr>
        <w:spacing w:before="0" w:after="80"/>
      </w:pPr>
      <w:r>
        <w:rPr>
          <w:rFonts w:ascii="Arial" w:hAnsi="Arial" w:cs="Arial"/>
          <w:b w:val="0"/>
          <w:i w:val="0"/>
          <w:sz w:val="18"/>
        </w:rPr>
        <w:t>Starting draft compiled overnight from the active MAR and the home-medication list for the attending's 05/22/2026 morning discharge encounter. Items carried forward from the current inpatient orders without re-evaluation. Doses, restart status, and renal adjustments to be confirmed at the attending discharge reconciliation. This sheet is not a discharge prescription set on its own.</w:t>
      </w:r>
    </w:p>
    <w:p>
      <w:pPr>
        <w:spacing w:before="120" w:after="60"/>
      </w:pPr>
      <w:r>
        <w:rPr>
          <w:rFonts w:ascii="Arial" w:hAnsi="Arial" w:cs="Arial"/>
          <w:b/>
          <w:i w:val="0"/>
          <w:sz w:val="20"/>
        </w:rPr>
        <w:t>SECTION A — ANTIBIOTIC / INFECTION ORDERS (CARRIED FORWARD FROM MAR)</w:t>
      </w:r>
    </w:p>
    <w:p>
      <w:pPr>
        <w:spacing w:before="0" w:after="40"/>
        <w:ind w:left="288" w:hanging="288"/>
      </w:pPr>
      <w:r>
        <w:rPr>
          <w:rFonts w:ascii="Arial" w:hAnsi="Arial" w:cs="Arial"/>
          <w:b w:val="0"/>
          <w:i w:val="0"/>
          <w:sz w:val="18"/>
        </w:rPr>
        <w:t xml:space="preserve">1.  </w:t>
      </w:r>
      <w:r>
        <w:rPr>
          <w:rFonts w:ascii="Arial" w:hAnsi="Arial" w:cs="Arial"/>
          <w:b/>
          <w:i w:val="0"/>
          <w:sz w:val="18"/>
        </w:rPr>
        <w:t>Vancomycin IV</w:t>
      </w:r>
      <w:r>
        <w:rPr>
          <w:rFonts w:ascii="Arial" w:hAnsi="Arial" w:cs="Arial"/>
          <w:b w:val="0"/>
          <w:i w:val="0"/>
          <w:sz w:val="18"/>
        </w:rPr>
        <w:t xml:space="preserve"> — by trough level per inpatient pharmacy, renal-dosed; active since 05/16/2026.</w:t>
      </w:r>
    </w:p>
    <w:p>
      <w:pPr>
        <w:spacing w:before="0" w:after="40"/>
        <w:ind w:left="288" w:hanging="288"/>
      </w:pPr>
      <w:r>
        <w:t xml:space="preserve">2.  Piperacillin-tazobactam 2.25 g IV every 8 hours — renal-dosed on current MAR; active since 05/16/2026.</w:t>
      </w:r>
    </w:p>
    <w:p>
      <w:pPr>
        <w:spacing w:before="0" w:after="40"/>
        <w:ind w:left="288" w:hanging="288"/>
      </w:pPr>
      <w:r>
        <w:t xml:space="preserve">3.  Cefepime 1 g IV q12h — renal dose on current MAR; started 05/19/2026 culture-directed.</w:t>
      </w:r>
    </w:p>
    <w:p>
      <w:pPr>
        <w:spacing w:before="0" w:after="40"/>
      </w:pPr>
    </w:p>
    <w:p>
      <w:pPr>
        <w:spacing w:before="0" w:after="60"/>
      </w:pPr>
      <w:r>
        <w:t xml:space="preserve">Microbiology reference (for attending): Deep-tissue culture (operative, 05/17) — MSSA (moderate growth) and Streptococcus agalactiae (moderate growth); MSSA susceptible to oxacillin, cefazolin, clindamycin, vancomycin, and TMP-SMX. Superficial ED swab — mixed skin flora.</w:t>
      </w:r>
    </w:p>
    <w:p>
      <w:pPr>
        <w:spacing w:before="0" w:after="80"/>
      </w:pPr>
      <w:r>
        <w:rPr>
          <w:rFonts w:ascii="Arial" w:hAnsi="Arial" w:cs="Arial"/>
          <w:b w:val="0"/>
          <w:i/>
          <w:sz w:val="18"/>
        </w:rPr>
        <w:t>Total antibiotic duration not finalized; Infectious Disease has recommended de-escalation toward a narrower beta-lactam. Final agent and dosing to be confirmed prior to release.
</w:t>
      </w:r>
    </w:p>
    <w:p>
      <w:pPr>
        <w:spacing w:before="120" w:after="60"/>
      </w:pPr>
      <w:r>
        <w:rPr>
          <w:rFonts w:ascii="Arial" w:hAnsi="Arial" w:cs="Arial"/>
          <w:b/>
          <w:i w:val="0"/>
          <w:sz w:val="20"/>
        </w:rPr>
        <w:t>SECTION B — ORAL AGENTS WITH UNCLEAR DISPOSITION (FROM HOME LIST)</w:t>
      </w:r>
    </w:p>
    <w:p>
      <w:pPr>
        <w:spacing w:before="0" w:after="80"/>
      </w:pPr>
      <w:r>
        <w:rPr>
          <w:rFonts w:ascii="Arial" w:hAnsi="Arial" w:cs="Arial"/>
          <w:b w:val="0"/>
          <w:i w:val="0"/>
          <w:sz w:val="18"/>
        </w:rPr>
        <w:t>The following home medications were held on admission. They appear on the orders list carried into this draft without an explicit restart or discontinue decision; the attending will need to set disposition at discharge.</w:t>
      </w:r>
    </w:p>
    <w:p>
      <w:pPr>
        <w:spacing w:before="0" w:after="40"/>
        <w:ind w:left="288" w:hanging="288"/>
      </w:pPr>
      <w:r>
        <w:rPr>
          <w:rFonts w:ascii="Arial" w:hAnsi="Arial" w:cs="Arial"/>
          <w:b w:val="0"/>
          <w:i w:val="0"/>
          <w:sz w:val="18"/>
        </w:rPr>
        <w:t xml:space="preserve">4.  </w:t>
      </w:r>
      <w:r>
        <w:rPr>
          <w:rFonts w:ascii="Arial" w:hAnsi="Arial" w:cs="Arial"/>
          <w:b/>
          <w:i w:val="0"/>
          <w:sz w:val="18"/>
        </w:rPr>
        <w:t>Metformin 500 mg PO BID</w:t>
      </w:r>
      <w:r>
        <w:rPr>
          <w:rFonts w:ascii="Arial" w:hAnsi="Arial" w:cs="Arial"/>
          <w:b w:val="0"/>
          <w:i w:val="0"/>
          <w:sz w:val="18"/>
        </w:rPr>
        <w:t xml:space="preserve"> — order present, status unclear.</w:t>
      </w:r>
    </w:p>
    <w:p>
      <w:pPr>
        <w:spacing w:before="0" w:after="40"/>
        <w:ind w:left="288" w:hanging="288"/>
      </w:pPr>
      <w:r>
        <w:rPr>
          <w:rFonts w:ascii="Arial" w:hAnsi="Arial" w:cs="Arial"/>
          <w:b w:val="0"/>
          <w:i w:val="0"/>
          <w:sz w:val="18"/>
        </w:rPr>
        <w:t xml:space="preserve">5.  </w:t>
      </w:r>
      <w:r>
        <w:rPr>
          <w:rFonts w:ascii="Arial" w:hAnsi="Arial" w:cs="Arial"/>
          <w:b/>
          <w:i w:val="0"/>
          <w:sz w:val="18"/>
        </w:rPr>
        <w:t>Empagliflozin 10 mg PO daily</w:t>
      </w:r>
      <w:r>
        <w:rPr>
          <w:rFonts w:ascii="Arial" w:hAnsi="Arial" w:cs="Arial"/>
          <w:b w:val="0"/>
          <w:i w:val="0"/>
          <w:sz w:val="18"/>
        </w:rPr>
        <w:t xml:space="preserve"> — order present, status unclear.</w:t>
      </w:r>
    </w:p>
    <w:p>
      <w:pPr>
        <w:spacing w:before="0" w:after="40"/>
        <w:ind w:left="288" w:hanging="288"/>
      </w:pPr>
      <w:r>
        <w:rPr>
          <w:rFonts w:ascii="Arial" w:hAnsi="Arial" w:cs="Arial"/>
          <w:b w:val="0"/>
          <w:i w:val="0"/>
          <w:sz w:val="18"/>
        </w:rPr>
        <w:t xml:space="preserve">6.  </w:t>
      </w:r>
      <w:r>
        <w:rPr>
          <w:rFonts w:ascii="Arial" w:hAnsi="Arial" w:cs="Arial"/>
          <w:b/>
          <w:i w:val="0"/>
          <w:sz w:val="18"/>
        </w:rPr>
        <w:t>Lisinopril 20 mg PO daily</w:t>
      </w:r>
      <w:r>
        <w:rPr>
          <w:rFonts w:ascii="Arial" w:hAnsi="Arial" w:cs="Arial"/>
          <w:b w:val="0"/>
          <w:i w:val="0"/>
          <w:sz w:val="18"/>
        </w:rPr>
        <w:t xml:space="preserve"> — order present, status unclear.</w:t>
      </w:r>
    </w:p>
    <w:p>
      <w:pPr>
        <w:spacing w:before="120" w:after="60"/>
      </w:pPr>
      <w:r>
        <w:rPr>
          <w:rFonts w:ascii="Arial" w:hAnsi="Arial" w:cs="Arial"/>
          <w:b/>
          <w:i w:val="0"/>
          <w:sz w:val="20"/>
        </w:rPr>
        <w:t>SECTION C — CONTINUE FROM HOME / INPATIENT MAR (AUTO-CARRIED)</w:t>
      </w:r>
    </w:p>
    <w:p>
      <w:pPr>
        <w:spacing w:before="0" w:after="20"/>
        <w:ind w:left="360" w:hanging="360"/>
      </w:pPr>
      <w:r>
        <w:rPr>
          <w:rFonts w:ascii="Arial" w:hAnsi="Arial" w:cs="Arial"/>
          <w:b w:val="0"/>
          <w:i w:val="0"/>
          <w:sz w:val="18"/>
        </w:rPr>
        <w:t xml:space="preserve">7.  </w:t>
      </w:r>
      <w:r>
        <w:rPr>
          <w:rFonts w:ascii="Arial" w:hAnsi="Arial" w:cs="Arial"/>
          <w:b/>
          <w:i w:val="0"/>
          <w:sz w:val="18"/>
        </w:rPr>
        <w:t>Insulin glargine 26 units subcutaneous nightly</w:t>
      </w:r>
      <w:r>
        <w:rPr>
          <w:rFonts w:ascii="Arial" w:hAnsi="Arial" w:cs="Arial"/>
          <w:b w:val="0"/>
          <w:i w:val="0"/>
          <w:sz w:val="18"/>
        </w:rPr>
        <w:t xml:space="preserve"> — intake-adjusted.</w:t>
      </w:r>
    </w:p>
    <w:p>
      <w:pPr>
        <w:spacing w:before="0" w:after="20"/>
        <w:ind w:left="360" w:hanging="360"/>
      </w:pPr>
      <w:r>
        <w:rPr>
          <w:rFonts w:ascii="Arial" w:hAnsi="Arial" w:cs="Arial"/>
          <w:b w:val="0"/>
          <w:i w:val="0"/>
          <w:sz w:val="18"/>
        </w:rPr>
        <w:t xml:space="preserve">8.  </w:t>
      </w:r>
      <w:r>
        <w:rPr>
          <w:rFonts w:ascii="Arial" w:hAnsi="Arial" w:cs="Arial"/>
          <w:b/>
          <w:i w:val="0"/>
          <w:sz w:val="18"/>
        </w:rPr>
        <w:t>Insulin aspart sliding scale subcutaneous TID with meals</w:t>
      </w:r>
      <w:r>
        <w:rPr>
          <w:rFonts w:ascii="Arial" w:hAnsi="Arial" w:cs="Arial"/>
          <w:b w:val="0"/>
          <w:i w:val="0"/>
          <w:sz w:val="18"/>
        </w:rPr>
        <w:t xml:space="preserve"> — per inpatient protocol; convert to home sliding scale at discharge.</w:t>
      </w:r>
    </w:p>
    <w:p>
      <w:pPr>
        <w:spacing w:before="0" w:after="20"/>
        <w:ind w:left="360" w:hanging="360"/>
      </w:pPr>
      <w:r>
        <w:rPr>
          <w:rFonts w:ascii="Arial" w:hAnsi="Arial" w:cs="Arial"/>
          <w:b w:val="0"/>
          <w:i w:val="0"/>
          <w:sz w:val="18"/>
        </w:rPr>
        <w:t xml:space="preserve">9.  </w:t>
      </w:r>
      <w:r>
        <w:rPr>
          <w:rFonts w:ascii="Arial" w:hAnsi="Arial" w:cs="Arial"/>
          <w:b/>
          <w:i w:val="0"/>
          <w:sz w:val="18"/>
        </w:rPr>
        <w:t>Furosemide 20 mg PO daily</w:t>
      </w:r>
      <w:r>
        <w:rPr>
          <w:rFonts w:ascii="Arial" w:hAnsi="Arial" w:cs="Arial"/>
          <w:b w:val="0"/>
          <w:i w:val="0"/>
          <w:sz w:val="18"/>
        </w:rPr>
        <w:t xml:space="preserve"> — volume-adjusted.</w:t>
      </w:r>
    </w:p>
    <w:p>
      <w:pPr>
        <w:spacing w:before="0" w:after="20"/>
        <w:ind w:left="360" w:hanging="360"/>
      </w:pPr>
      <w:r>
        <w:rPr>
          <w:rFonts w:ascii="Arial" w:hAnsi="Arial" w:cs="Arial"/>
          <w:b w:val="0"/>
          <w:i w:val="0"/>
          <w:sz w:val="18"/>
        </w:rPr>
        <w:t xml:space="preserve">10.  </w:t>
      </w:r>
      <w:r>
        <w:rPr>
          <w:rFonts w:ascii="Arial" w:hAnsi="Arial" w:cs="Arial"/>
          <w:b/>
          <w:i w:val="0"/>
          <w:sz w:val="18"/>
        </w:rPr>
        <w:t>Atorvastatin 40 mg PO nightly.</w:t>
      </w:r>
      <w:r>
        <w:rPr>
          <w:rFonts w:ascii="Arial" w:hAnsi="Arial" w:cs="Arial"/>
          <w:b w:val="0"/>
          <w:i w:val="0"/>
          <w:sz w:val="18"/>
        </w:rPr>
      </w:r>
    </w:p>
    <w:p>
      <w:pPr>
        <w:spacing w:before="0" w:after="20"/>
        <w:ind w:left="360" w:hanging="360"/>
      </w:pPr>
      <w:r>
        <w:rPr>
          <w:rFonts w:ascii="Arial" w:hAnsi="Arial" w:cs="Arial"/>
          <w:b w:val="0"/>
          <w:i w:val="0"/>
          <w:sz w:val="18"/>
        </w:rPr>
        <w:t xml:space="preserve">11.  </w:t>
      </w:r>
      <w:r>
        <w:rPr>
          <w:rFonts w:ascii="Arial" w:hAnsi="Arial" w:cs="Arial"/>
          <w:b/>
          <w:i w:val="0"/>
          <w:sz w:val="18"/>
        </w:rPr>
        <w:t>Aspirin 81 mg PO daily.</w:t>
      </w:r>
      <w:r>
        <w:rPr>
          <w:rFonts w:ascii="Arial" w:hAnsi="Arial" w:cs="Arial"/>
          <w:b w:val="0"/>
          <w:i w:val="0"/>
          <w:sz w:val="18"/>
        </w:rPr>
      </w:r>
    </w:p>
    <w:p>
      <w:pPr>
        <w:spacing w:before="0" w:after="20"/>
        <w:ind w:left="360" w:hanging="360"/>
      </w:pPr>
      <w:r>
        <w:rPr>
          <w:rFonts w:ascii="Arial" w:hAnsi="Arial" w:cs="Arial"/>
          <w:b w:val="0"/>
          <w:i w:val="0"/>
          <w:sz w:val="18"/>
        </w:rPr>
        <w:t xml:space="preserve">12.  </w:t>
      </w:r>
      <w:r>
        <w:rPr>
          <w:rFonts w:ascii="Arial" w:hAnsi="Arial" w:cs="Arial"/>
          <w:b/>
          <w:i w:val="0"/>
          <w:sz w:val="18"/>
        </w:rPr>
        <w:t>Clopidogrel 75 mg PO daily.</w:t>
      </w:r>
      <w:r>
        <w:rPr>
          <w:rFonts w:ascii="Arial" w:hAnsi="Arial" w:cs="Arial"/>
          <w:b w:val="0"/>
          <w:i w:val="0"/>
          <w:sz w:val="18"/>
        </w:rPr>
      </w:r>
    </w:p>
    <w:p>
      <w:pPr>
        <w:spacing w:before="0" w:after="20"/>
        <w:ind w:left="360" w:hanging="360"/>
      </w:pPr>
      <w:r>
        <w:rPr>
          <w:rFonts w:ascii="Arial" w:hAnsi="Arial" w:cs="Arial"/>
          <w:b w:val="0"/>
          <w:i w:val="0"/>
          <w:sz w:val="18"/>
        </w:rPr>
        <w:t xml:space="preserve">13.  </w:t>
      </w:r>
      <w:r>
        <w:rPr>
          <w:rFonts w:ascii="Arial" w:hAnsi="Arial" w:cs="Arial"/>
          <w:b/>
          <w:i w:val="0"/>
          <w:sz w:val="18"/>
        </w:rPr>
        <w:t>Gabapentin 300 mg PO TID</w:t>
      </w:r>
      <w:r>
        <w:rPr>
          <w:rFonts w:ascii="Arial" w:hAnsi="Arial" w:cs="Arial"/>
          <w:b w:val="0"/>
          <w:i w:val="0"/>
          <w:sz w:val="18"/>
        </w:rPr>
        <w:t xml:space="preserve"> — renally dose-checked on current MAR.</w:t>
      </w:r>
    </w:p>
    <w:p>
      <w:pPr>
        <w:spacing w:before="0" w:after="20"/>
        <w:ind w:left="360" w:hanging="360"/>
      </w:pPr>
      <w:r>
        <w:rPr>
          <w:rFonts w:ascii="Arial" w:hAnsi="Arial" w:cs="Arial"/>
          <w:b w:val="0"/>
          <w:i w:val="0"/>
          <w:sz w:val="18"/>
        </w:rPr>
        <w:t xml:space="preserve">14.  </w:t>
      </w:r>
      <w:r>
        <w:rPr>
          <w:rFonts w:ascii="Arial" w:hAnsi="Arial" w:cs="Arial"/>
          <w:b/>
          <w:i w:val="0"/>
          <w:sz w:val="18"/>
        </w:rPr>
        <w:t>Ferrous sulfate 325 mg PO daily.</w:t>
      </w:r>
      <w:r>
        <w:rPr>
          <w:rFonts w:ascii="Arial" w:hAnsi="Arial" w:cs="Arial"/>
          <w:b w:val="0"/>
          <w:i w:val="0"/>
          <w:sz w:val="18"/>
        </w:rPr>
      </w:r>
    </w:p>
    <w:p>
      <w:pPr>
        <w:spacing w:before="0" w:after="20"/>
        <w:ind w:left="360" w:hanging="360"/>
      </w:pPr>
      <w:r>
        <w:rPr>
          <w:rFonts w:ascii="Arial" w:hAnsi="Arial" w:cs="Arial"/>
          <w:b w:val="0"/>
          <w:i w:val="0"/>
          <w:sz w:val="18"/>
        </w:rPr>
        <w:t xml:space="preserve">15.  </w:t>
      </w:r>
      <w:r>
        <w:rPr>
          <w:rFonts w:ascii="Arial" w:hAnsi="Arial" w:cs="Arial"/>
          <w:b/>
          <w:i w:val="0"/>
          <w:sz w:val="18"/>
        </w:rPr>
        <w:t>Cholecalciferol 2000 units PO daily.</w:t>
      </w:r>
      <w:r>
        <w:rPr>
          <w:rFonts w:ascii="Arial" w:hAnsi="Arial" w:cs="Arial"/>
          <w:b w:val="0"/>
          <w:i w:val="0"/>
          <w:sz w:val="18"/>
        </w:rPr>
      </w:r>
    </w:p>
    <w:p>
      <w:pPr>
        <w:spacing w:before="0" w:after="20"/>
        <w:ind w:left="360" w:hanging="360"/>
      </w:pPr>
      <w:r>
        <w:rPr>
          <w:rFonts w:ascii="Arial" w:hAnsi="Arial" w:cs="Arial"/>
          <w:b w:val="0"/>
          <w:i w:val="0"/>
          <w:sz w:val="18"/>
        </w:rPr>
        <w:t xml:space="preserve">16.  </w:t>
      </w:r>
      <w:r>
        <w:rPr>
          <w:rFonts w:ascii="Arial" w:hAnsi="Arial" w:cs="Arial"/>
          <w:b/>
          <w:i w:val="0"/>
          <w:sz w:val="18"/>
        </w:rPr>
        <w:t>Pantoprazole 40 mg PO daily.</w:t>
      </w:r>
      <w:r>
        <w:rPr>
          <w:rFonts w:ascii="Arial" w:hAnsi="Arial" w:cs="Arial"/>
          <w:b w:val="0"/>
          <w:i w:val="0"/>
          <w:sz w:val="18"/>
        </w:rPr>
      </w:r>
    </w:p>
    <w:p>
      <w:pPr>
        <w:spacing w:before="0" w:after="20"/>
        <w:ind w:left="360" w:hanging="360"/>
      </w:pPr>
      <w:r>
        <w:rPr>
          <w:rFonts w:ascii="Arial" w:hAnsi="Arial" w:cs="Arial"/>
          <w:b w:val="0"/>
          <w:i w:val="0"/>
          <w:sz w:val="18"/>
        </w:rPr>
        <w:t xml:space="preserve">17.  </w:t>
      </w:r>
      <w:r>
        <w:rPr>
          <w:rFonts w:ascii="Arial" w:hAnsi="Arial" w:cs="Arial"/>
          <w:b/>
          <w:i w:val="0"/>
          <w:sz w:val="18"/>
        </w:rPr>
        <w:t>Acetaminophen 650 mg PO TID PRN</w:t>
      </w:r>
      <w:r>
        <w:rPr>
          <w:rFonts w:ascii="Arial" w:hAnsi="Arial" w:cs="Arial"/>
          <w:b w:val="0"/>
          <w:i w:val="0"/>
          <w:sz w:val="18"/>
        </w:rPr>
        <w:t xml:space="preserve"> — knee osteoarthritis / generalized pain.</w:t>
      </w:r>
    </w:p>
    <w:p>
      <w:pPr>
        <w:spacing w:before="0" w:after="20"/>
        <w:ind w:left="360" w:hanging="360"/>
      </w:pPr>
      <w:r>
        <w:rPr>
          <w:rFonts w:ascii="Arial" w:hAnsi="Arial" w:cs="Arial"/>
          <w:b w:val="0"/>
          <w:i w:val="0"/>
          <w:sz w:val="18"/>
        </w:rPr>
        <w:t xml:space="preserve">18.  </w:t>
      </w:r>
      <w:r>
        <w:rPr>
          <w:rFonts w:ascii="Arial" w:hAnsi="Arial" w:cs="Arial"/>
          <w:b/>
          <w:i w:val="0"/>
          <w:sz w:val="18"/>
        </w:rPr>
        <w:t>Ibuprofen 400 mg PO q6h PRN</w:t>
      </w:r>
      <w:r>
        <w:rPr>
          <w:rFonts w:ascii="Arial" w:hAnsi="Arial" w:cs="Arial"/>
          <w:b w:val="0"/>
          <w:i w:val="0"/>
          <w:sz w:val="18"/>
        </w:rPr>
        <w:t xml:space="preserve"> — knee osteoarthritis (added to PRN list for pain coverage).</w:t>
      </w:r>
    </w:p>
    <w:p>
      <w:pPr>
        <w:spacing w:before="0" w:after="20"/>
        <w:ind w:left="360" w:hanging="360"/>
      </w:pPr>
      <w:r>
        <w:rPr>
          <w:rFonts w:ascii="Arial" w:hAnsi="Arial" w:cs="Arial"/>
          <w:b w:val="0"/>
          <w:i w:val="0"/>
          <w:sz w:val="18"/>
        </w:rPr>
        <w:t xml:space="preserve">19.  </w:t>
      </w:r>
      <w:r>
        <w:rPr>
          <w:rFonts w:ascii="Arial" w:hAnsi="Arial" w:cs="Arial"/>
          <w:b/>
          <w:i w:val="0"/>
          <w:sz w:val="18"/>
        </w:rPr>
        <w:t>CPAP nightly</w:t>
      </w:r>
      <w:r>
        <w:rPr>
          <w:rFonts w:ascii="Arial" w:hAnsi="Arial" w:cs="Arial"/>
          <w:b w:val="0"/>
          <w:i w:val="0"/>
          <w:sz w:val="18"/>
        </w:rPr>
        <w:t xml:space="preserve"> — home device; confirm mask fit at discharge.</w:t>
      </w:r>
    </w:p>
    <w:p>
      <w:pPr>
        <w:spacing w:before="160" w:after="60"/>
      </w:pPr>
      <w:r>
        <w:rPr>
          <w:rFonts w:ascii="Arial" w:hAnsi="Arial" w:cs="Arial"/>
          <w:b/>
          <w:i w:val="0"/>
          <w:sz w:val="20"/>
        </w:rPr>
        <w:t>SECTION D — DISCHARGE LOGISTICS (PLACEHOLDERS)</w:t>
      </w:r>
    </w:p>
    <w:p>
      <w:pPr>
        <w:spacing w:before="0" w:after="40"/>
        <w:ind w:left="360" w:hanging="216"/>
      </w:pPr>
      <w:r>
        <w:rPr>
          <w:rFonts w:ascii="Arial" w:hAnsi="Arial" w:cs="Arial"/>
          <w:b w:val="0"/>
          <w:i w:val="0"/>
          <w:sz w:val="18"/>
        </w:rPr>
        <w:t xml:space="preserve">•  </w:t>
      </w:r>
      <w:r>
        <w:rPr>
          <w:rFonts w:ascii="Arial" w:hAnsi="Arial" w:cs="Arial"/>
          <w:b/>
          <w:i w:val="0"/>
          <w:sz w:val="18"/>
        </w:rPr>
        <w:t xml:space="preserve">Diet: </w:t>
      </w:r>
      <w:r>
        <w:rPr>
          <w:rFonts w:ascii="Arial" w:hAnsi="Arial" w:cs="Arial"/>
          <w:b w:val="0"/>
          <w:i w:val="0"/>
          <w:sz w:val="18"/>
        </w:rPr>
        <w:t>Diabetic, renal-friendly.</w:t>
      </w:r>
    </w:p>
    <w:p>
      <w:pPr>
        <w:spacing w:before="0" w:after="40"/>
        <w:ind w:left="360" w:hanging="216"/>
      </w:pPr>
      <w:r>
        <w:rPr>
          <w:rFonts w:ascii="Arial" w:hAnsi="Arial" w:cs="Arial"/>
          <w:b w:val="0"/>
          <w:i w:val="0"/>
          <w:sz w:val="18"/>
        </w:rPr>
        <w:t xml:space="preserve">•  </w:t>
      </w:r>
      <w:r>
        <w:rPr>
          <w:rFonts w:ascii="Arial" w:hAnsi="Arial" w:cs="Arial"/>
          <w:b/>
          <w:i w:val="0"/>
          <w:sz w:val="18"/>
        </w:rPr>
        <w:t xml:space="preserve">Activity: </w:t>
      </w:r>
      <w:r>
        <w:rPr>
          <w:rFonts w:ascii="Arial" w:hAnsi="Arial" w:cs="Arial"/>
          <w:b w:val="0"/>
          <w:i w:val="0"/>
          <w:sz w:val="18"/>
        </w:rPr>
        <w:t>Per podiatry / PT — offloading of left forefoot to be specified by attending and therapy notes.</w:t>
      </w:r>
    </w:p>
    <w:p>
      <w:pPr>
        <w:spacing w:before="0" w:after="40"/>
        <w:ind w:left="360" w:hanging="216"/>
      </w:pPr>
      <w:r>
        <w:rPr>
          <w:rFonts w:ascii="Arial" w:hAnsi="Arial" w:cs="Arial"/>
          <w:b w:val="0"/>
          <w:i w:val="0"/>
          <w:sz w:val="18"/>
        </w:rPr>
        <w:t xml:space="preserve">•  </w:t>
      </w:r>
      <w:r>
        <w:rPr>
          <w:rFonts w:ascii="Arial" w:hAnsi="Arial" w:cs="Arial"/>
          <w:b/>
          <w:i w:val="0"/>
          <w:sz w:val="18"/>
        </w:rPr>
        <w:t xml:space="preserve">Wound care: </w:t>
      </w:r>
      <w:r>
        <w:rPr>
          <w:rFonts w:ascii="Arial" w:hAnsi="Arial" w:cs="Arial"/>
          <w:b w:val="0"/>
          <w:i w:val="0"/>
          <w:sz w:val="18"/>
        </w:rPr>
        <w:t>Daily moist wound dressing; skilled nursing-level dressing changes — frequency to be confirmed by Wound Care (Olwyn, RN, CWOCN).</w:t>
      </w:r>
    </w:p>
    <w:p>
      <w:pPr>
        <w:spacing w:before="0" w:after="40"/>
        <w:ind w:left="360" w:hanging="216"/>
      </w:pPr>
      <w:r>
        <w:rPr>
          <w:rFonts w:ascii="Arial" w:hAnsi="Arial" w:cs="Arial"/>
          <w:b w:val="0"/>
          <w:i w:val="0"/>
          <w:sz w:val="18"/>
        </w:rPr>
        <w:t xml:space="preserve">•  </w:t>
      </w:r>
      <w:r>
        <w:rPr>
          <w:rFonts w:ascii="Arial" w:hAnsi="Arial" w:cs="Arial"/>
          <w:b/>
          <w:i w:val="0"/>
          <w:sz w:val="18"/>
        </w:rPr>
        <w:t xml:space="preserve">Follow-up: </w:t>
      </w:r>
      <w:r>
        <w:rPr>
          <w:rFonts w:ascii="Arial" w:hAnsi="Arial" w:cs="Arial"/>
          <w:b w:val="0"/>
          <w:i w:val="0"/>
          <w:sz w:val="18"/>
        </w:rPr>
        <w:t>Primary care (Dr. Torres-Hidalgo), podiatry (Dr. Vell), endocrinology (Dr. Saafeld), infectious disease (Dr. Brusk), vascular surgery (Dr. Mwangi) — appointments to be entered by case management.</w:t>
      </w:r>
    </w:p>
    <w:p>
      <w:pPr>
        <w:spacing w:before="0" w:after="40"/>
        <w:ind w:left="360" w:hanging="216"/>
      </w:pPr>
      <w:r>
        <w:rPr>
          <w:rFonts w:ascii="Arial" w:hAnsi="Arial" w:cs="Arial"/>
          <w:b w:val="0"/>
          <w:i w:val="0"/>
          <w:sz w:val="18"/>
        </w:rPr>
        <w:t xml:space="preserve">•  </w:t>
      </w:r>
      <w:r>
        <w:rPr>
          <w:rFonts w:ascii="Arial" w:hAnsi="Arial" w:cs="Arial"/>
          <w:b/>
          <w:i w:val="0"/>
          <w:sz w:val="18"/>
        </w:rPr>
        <w:t xml:space="preserve">DME: </w:t>
      </w:r>
      <w:r>
        <w:rPr>
          <w:rFonts w:ascii="Arial" w:hAnsi="Arial" w:cs="Arial"/>
          <w:b w:val="0"/>
          <w:i w:val="0"/>
          <w:sz w:val="18"/>
        </w:rPr>
        <w:t>Offloading device pending per case management screen 05/20.</w:t>
      </w:r>
    </w:p>
    <w:p>
      <w:pPr>
        <w:spacing w:before="0" w:after="40"/>
        <w:ind w:left="360" w:hanging="216"/>
      </w:pPr>
      <w:r>
        <w:rPr>
          <w:rFonts w:ascii="Arial" w:hAnsi="Arial" w:cs="Arial"/>
          <w:b w:val="0"/>
          <w:i w:val="0"/>
          <w:sz w:val="18"/>
        </w:rPr>
        <w:t xml:space="preserve">•  </w:t>
      </w:r>
      <w:r>
        <w:rPr>
          <w:rFonts w:ascii="Arial" w:hAnsi="Arial" w:cs="Arial"/>
          <w:b/>
          <w:i w:val="0"/>
          <w:sz w:val="18"/>
        </w:rPr>
        <w:t xml:space="preserve">Pharmacy: </w:t>
      </w:r>
      <w:r>
        <w:rPr>
          <w:rFonts w:ascii="Arial" w:hAnsi="Arial" w:cs="Arial"/>
          <w:b w:val="0"/>
          <w:i w:val="0"/>
          <w:sz w:val="18"/>
        </w:rPr>
        <w:t>Cypress Harbor Community Pharmacy, 812 Marina Way, Cypress Harbor, FL 33421 — (561) 555-0192. PBM Meridian Rx Benefit Solutions (RxBIN 610591 / RxPCN MRBS / RxGRP CMA2026FL).</w:t>
      </w:r>
    </w:p>
    <w:p>
      <w:pPr>
        <w:spacing w:before="40" w:after="80"/>
      </w:pPr>
      <w:r>
        <w:rPr>
          <w:rFonts w:ascii="Arial" w:hAnsi="Arial" w:cs="Arial"/>
          <w:b w:val="0"/>
          <w:i/>
          <w:sz w:val="16"/>
        </w:rPr>
        <w:t>
</w:t>
      </w:r>
    </w:p>
    <w:p>
      <w:pPr>
        <w:spacing w:before="160" w:after="60"/>
      </w:pPr>
      <w:r>
        <w:rPr>
          <w:rFonts w:ascii="Arial" w:hAnsi="Arial" w:cs="Arial"/>
          <w:b/>
          <w:i w:val="0"/>
          <w:sz w:val="22"/>
        </w:rPr>
        <w:t>FOR ATTENDING TO RECONCILE</w:t>
      </w:r>
    </w:p>
    <w:p>
      <w:pPr>
        <w:spacing w:before="0" w:after="60"/>
      </w:pPr>
      <w:r>
        <w:rPr>
          <w:rFonts w:ascii="Arial" w:hAnsi="Arial" w:cs="Arial"/>
          <w:b w:val="0"/>
          <w:i w:val="0"/>
          <w:sz w:val="18"/>
        </w:rPr>
        <w:t>This is a draft only. Before release as a discharge prescription set, the attending should:</w:t>
      </w:r>
    </w:p>
    <w:p>
      <w:pPr>
        <w:spacing w:before="0" w:after="40"/>
        <w:ind w:left="432" w:hanging="288"/>
      </w:pPr>
      <w:r>
        <w:t xml:space="preserve">•  Confirm antibiotic agent, dose, and duration are appropriate for discharge; reference ID recommendations.
</w:t>
      </w:r>
    </w:p>
    <w:p>
      <w:pPr>
        <w:spacing w:before="0" w:after="40"/>
        <w:ind w:left="432" w:hanging="288"/>
      </w:pPr>
      <w:r>
        <w:rPr>
          <w:rFonts w:ascii="Arial" w:hAnsi="Arial" w:cs="Arial"/>
          <w:b w:val="0"/>
          <w:i w:val="0"/>
          <w:sz w:val="18"/>
        </w:rPr>
        <w:t xml:space="preserve">•  </w:t>
      </w:r>
      <w:r>
        <w:rPr>
          <w:rFonts w:ascii="Arial" w:hAnsi="Arial" w:cs="Arial"/>
          <w:b w:val="0"/>
          <w:i w:val="0"/>
          <w:sz w:val="18"/>
        </w:rPr>
        <w:t>Set explicit disposition (restart / continue hold / discontinue) for each held oral agent in Section B; status as written here is not a discharge instruction.</w:t>
      </w:r>
    </w:p>
    <w:p>
      <w:pPr>
        <w:spacing w:before="0" w:after="40"/>
        <w:ind w:left="432" w:hanging="288"/>
      </w:pPr>
      <w:r>
        <w:t xml:space="preserve">•  Review all PRN medications for continued appropriateness at discharge.
</w:t>
      </w:r>
    </w:p>
    <w:p>
      <w:pPr>
        <w:spacing w:before="0" w:after="40"/>
        <w:ind w:left="432" w:hanging="288"/>
      </w:pPr>
      <w:r>
        <w:t xml:space="preserve">•  Review antibiotic agent, dose, and duration for discharge appropriateness.
</w:t>
      </w:r>
    </w:p>
    <w:p>
      <w:pPr>
        <w:spacing w:before="0" w:after="40"/>
        <w:ind w:left="432" w:hanging="288"/>
      </w:pPr>
      <w:r>
        <w:rPr>
          <w:rFonts w:ascii="Arial" w:hAnsi="Arial" w:cs="Arial"/>
          <w:b w:val="0"/>
          <w:i w:val="0"/>
          <w:sz w:val="18"/>
        </w:rPr>
        <w:t xml:space="preserve">•  </w:t>
      </w:r>
      <w:r>
        <w:rPr>
          <w:rFonts w:ascii="Arial" w:hAnsi="Arial" w:cs="Arial"/>
          <w:b w:val="0"/>
          <w:i w:val="0"/>
          <w:sz w:val="18"/>
        </w:rPr>
        <w:t>Sign and release the final orders.</w:t>
      </w:r>
    </w:p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>
            <w:pPr>
              <w:spacing w:before="40" w:after="20"/>
            </w:pPr>
            <w:r>
              <w:rPr>
                <w:rFonts w:ascii="Arial" w:hAnsi="Arial" w:cs="Arial"/>
                <w:b/>
                <w:i w:val="0"/>
                <w:sz w:val="18"/>
              </w:rPr>
              <w:t>NOT SIGNED FOR RELEASE — DRAFT ORDERS ONLY</w:t>
            </w:r>
          </w:p>
          <w:p>
            <w:pPr>
              <w:spacing w:before="0" w:after="40"/>
            </w:pPr>
            <w:r>
              <w:rPr>
                <w:rFonts w:ascii="Arial" w:hAnsi="Arial" w:cs="Arial"/>
                <w:b w:val="0"/>
                <w:i/>
                <w:sz w:val="16"/>
              </w:rPr>
              <w:t>Prepared 05/21/2026 23:48 by Tobias Renquist, MD, PGY-2, Hospital Medicine (NPI 1659430275) — for attending review by Lillian Everet, MD on the 05/22 morning discharge encounter.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