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PRELIMINARY CODING WORKSHEET</w:t>
      </w:r>
    </w:p>
    <w:p>
      <w:pPr>
        <w:spacing w:before="0" w:after="120"/>
        <w:jc w:val="center"/>
      </w:pPr>
      <w:r>
        <w:rPr>
          <w:rFonts w:ascii="Arial" w:hAnsi="Arial"/>
          <w:b/>
          <w:sz w:val="20"/>
        </w:rPr>
        <w:t>HIM TO PHYSICIAN — PENDING PHYSICIAN ATTESTATION</w:t>
      </w:r>
    </w:p>
    <w:p>
      <w:pPr>
        <w:spacing w:before="0" w:after="0"/>
        <w:jc w:val="center"/>
      </w:pPr>
      <w:r>
        <w:rPr>
          <w:rFonts w:ascii="Arial" w:hAnsi="Arial"/>
          <w:b/>
          <w:sz w:val="20"/>
        </w:rPr>
        <w:t>Harbor Crest Regional Medical Center</w:t>
      </w:r>
    </w:p>
    <w:p>
      <w:pPr>
        <w:spacing w:before="0" w:after="0"/>
        <w:jc w:val="center"/>
      </w:pPr>
      <w:r>
        <w:rPr>
          <w:rFonts w:ascii="Arial" w:hAnsi="Arial"/>
          <w:b w:val="0"/>
          <w:sz w:val="18"/>
        </w:rPr>
        <w:t>Health Information Management / Coding</w:t>
      </w:r>
    </w:p>
    <w:p>
      <w:pPr>
        <w:spacing w:before="0" w:after="80"/>
        <w:jc w:val="center"/>
      </w:pPr>
      <w:r>
        <w:rPr>
          <w:rFonts w:ascii="Arial" w:hAnsi="Arial"/>
          <w:b w:val="0"/>
          <w:sz w:val="18"/>
        </w:rPr>
        <w:t>2400 Mariners Bay Boulevard, Cypress Harbor, FL 33421</w:t>
      </w:r>
    </w:p>
    <w:p>
      <w:pPr>
        <w:pBdr>
          <w:bottom w:val="single" w:sz="6" w:space="1" w:color="000000"/>
        </w:pBdr>
        <w:spacing w:before="40" w:after="40"/>
      </w:pPr>
    </w:p>
    <w:p>
      <w:pPr>
        <w:spacing w:before="0" w:after="40"/>
      </w:pPr>
      <w:r>
        <w:rPr>
          <w:rFonts w:ascii="Arial" w:hAnsi="Arial"/>
          <w:b/>
          <w:sz w:val="18"/>
        </w:rPr>
        <w:t xml:space="preserve">Prepared by: </w:t>
      </w:r>
      <w:r>
        <w:rPr>
          <w:rFonts w:ascii="Arial" w:hAnsi="Arial"/>
          <w:b w:val="0"/>
          <w:sz w:val="18"/>
        </w:rPr>
        <w:t>Corwin Adeyle, RHIA, CCS</w:t>
      </w:r>
    </w:p>
    <w:p>
      <w:pPr>
        <w:spacing w:before="0" w:after="40"/>
      </w:pPr>
      <w:r>
        <w:rPr>
          <w:rFonts w:ascii="Arial" w:hAnsi="Arial"/>
          <w:b/>
          <w:sz w:val="18"/>
        </w:rPr>
        <w:t xml:space="preserve">Title: </w:t>
      </w:r>
      <w:r>
        <w:rPr>
          <w:rFonts w:ascii="Arial" w:hAnsi="Arial"/>
          <w:b w:val="0"/>
          <w:sz w:val="18"/>
        </w:rPr>
        <w:t>Health Information Coding Lead, Harbor Crest HIM Coding</w:t>
      </w:r>
    </w:p>
    <w:p>
      <w:pPr>
        <w:spacing w:before="0" w:after="40"/>
      </w:pPr>
      <w:r>
        <w:rPr>
          <w:rFonts w:ascii="Arial" w:hAnsi="Arial"/>
          <w:b/>
          <w:sz w:val="18"/>
        </w:rPr>
        <w:t xml:space="preserve">Phone: </w:t>
      </w:r>
      <w:r>
        <w:rPr>
          <w:rFonts w:ascii="Arial" w:hAnsi="Arial"/>
          <w:b w:val="0"/>
          <w:sz w:val="18"/>
        </w:rPr>
        <w:t>(561) 555-0634</w:t>
      </w:r>
    </w:p>
    <w:p>
      <w:pPr>
        <w:spacing w:before="0" w:after="40"/>
      </w:pPr>
      <w:r>
        <w:t xml:space="preserve">Worksheet date: 05/23/2026</w:t>
      </w:r>
    </w:p>
    <w:p>
      <w:pPr>
        <w:spacing w:before="0" w:after="40"/>
      </w:pPr>
      <w:r>
        <w:rPr>
          <w:rFonts w:ascii="Arial" w:hAnsi="Arial"/>
          <w:b/>
          <w:sz w:val="18"/>
        </w:rPr>
        <w:t xml:space="preserve">Worksheet ID: </w:t>
      </w:r>
      <w:r>
        <w:rPr>
          <w:rFonts w:ascii="Arial" w:hAnsi="Arial"/>
          <w:b w:val="0"/>
          <w:sz w:val="18"/>
        </w:rPr>
        <w:t>HIM-PCW-OV3358104-05212026</w:t>
      </w:r>
    </w:p>
    <w:p>
      <w:pPr>
        <w:spacing w:before="0" w:after="80"/>
      </w:pPr>
      <w:r>
        <w:rPr>
          <w:rFonts w:ascii="Arial" w:hAnsi="Arial"/>
          <w:b/>
          <w:sz w:val="18"/>
        </w:rPr>
        <w:t xml:space="preserve">Routing: </w:t>
      </w:r>
      <w:r>
        <w:rPr>
          <w:rFonts w:ascii="Arial" w:hAnsi="Arial"/>
          <w:b w:val="0"/>
          <w:sz w:val="18"/>
        </w:rPr>
        <w:t>HIM → Attending of Record (Lillian Everet, MD); cc CDI (B. Ndiaye, RN, CCDS)</w:t>
      </w:r>
    </w:p>
    <w:p>
      <w:pPr>
        <w:pBdr>
          <w:bottom w:val="single" w:sz="6" w:space="1" w:color="000000"/>
        </w:pBdr>
        <w:spacing w:before="40" w:after="40"/>
      </w:pPr>
    </w:p>
    <w:p>
      <w:pPr>
        <w:spacing w:before="160" w:after="80"/>
      </w:pPr>
      <w:r>
        <w:rPr>
          <w:rFonts w:ascii="Arial" w:hAnsi="Arial"/>
          <w:b/>
          <w:sz w:val="20"/>
        </w:rPr>
        <w:t>PATIENT IDENTIFICATION</w:t>
      </w:r>
    </w:p>
    <w:tbl>
      <w:tblPr>
        <w:tblW w:type="auto" w:w="0"/>
        <w:tblLayout w:type="fixed"/>
        <w:tblLook w:firstColumn="1" w:firstRow="1" w:lastColumn="0" w:lastRow="0" w:noHBand="0" w:noVBand="1" w:val="04A0"/>
      </w:tblPr>
      <w:tblGrid>
        <w:gridCol w:w="5100"/>
        <w:gridCol w:w="5100"/>
      </w:tblGrid>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Patient name</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Ondina Vasquell</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MRN</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OV-3358104</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Financial / encounter number</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FIN-2207733</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DOB</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03/14/1958</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Sex</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Female</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Admit date</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05/16/2026</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Worksheet snapshot</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HD6 (05/21/2026); issued 05/23/2026
</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Attending of record</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Lillian Everet, MD</w:t>
            </w:r>
          </w:p>
        </w:tc>
      </w:tr>
      <w:tr>
        <w:tc>
          <w:tcPr>
            <w:tcW w:type="dxa" w:w="3312"/>
            <w:tcBorders>
              <w:top w:val="single" w:sz="4" w:color="000000"/>
              <w:left w:val="single" w:sz="4" w:color="000000"/>
              <w:bottom w:val="single" w:sz="4" w:color="000000"/>
              <w:right w:val="single" w:sz="4" w:color="000000"/>
            </w:tcBorders>
            <w:shd w:val="clear" w:color="auto" w:fill="F2F2F2"/>
          </w:tcPr>
          <w:p>
            <w:pPr>
              <w:spacing w:after="0"/>
            </w:pPr>
            <w:r>
              <w:rPr>
                <w:rFonts w:ascii="Arial" w:hAnsi="Arial"/>
                <w:b/>
                <w:sz w:val="18"/>
              </w:rPr>
              <w:t>Discharge disposition</w:t>
            </w:r>
          </w:p>
        </w:tc>
        <w:tc>
          <w:tcPr>
            <w:tcW w:type="dxa" w:w="6048"/>
            <w:tcBorders>
              <w:top w:val="single" w:sz="4" w:color="000000"/>
              <w:left w:val="single" w:sz="4" w:color="000000"/>
              <w:bottom w:val="single" w:sz="4" w:color="000000"/>
              <w:right w:val="single" w:sz="4" w:color="000000"/>
            </w:tcBorders>
          </w:tcPr>
          <w:p>
            <w:pPr>
              <w:spacing w:after="0"/>
            </w:pPr>
            <w:r>
              <w:rPr>
                <w:rFonts w:ascii="Arial" w:hAnsi="Arial"/>
                <w:sz w:val="18"/>
              </w:rPr>
              <w:t>Pending (worksheet prepared in anticipation of discharge coding)</w:t>
            </w:r>
          </w:p>
        </w:tc>
      </w:tr>
    </w:tbl>
    <w:p>
      <w:pPr>
        <w:spacing w:before="160" w:after="80"/>
      </w:pPr>
      <w:r>
        <w:rPr>
          <w:rFonts w:ascii="Arial" w:hAnsi="Arial"/>
          <w:b/>
          <w:sz w:val="20"/>
        </w:rPr>
        <w:t>PURPOSE</w:t>
      </w:r>
    </w:p>
    <w:p>
      <w:pPr>
        <w:spacing w:before="0" w:after="80"/>
      </w:pPr>
      <w:r>
        <w:rPr>
          <w:rFonts w:ascii="Arial" w:hAnsi="Arial"/>
          <w:b w:val="0"/>
          <w:sz w:val="18"/>
        </w:rPr>
        <w:t>Severity-forward preliminary coding pass to position the encounter for the highest-supported MS-DRG. Line items below reflect HIM's recommended principal/secondary assignments and POA indicators subject to physician attestation. Please review each row, mark concur / revise / decline, and return for finalization.</w:t>
      </w:r>
    </w:p>
    <w:p>
      <w:pPr>
        <w:spacing w:before="160" w:after="80"/>
      </w:pPr>
      <w:r>
        <w:rPr>
          <w:rFonts w:ascii="Arial" w:hAnsi="Arial"/>
          <w:b/>
          <w:sz w:val="20"/>
        </w:rPr>
        <w:t>PROPOSED LINE-ITEM CODING</w:t>
      </w:r>
    </w:p>
    <w:tbl>
      <w:tblPr>
        <w:tblW w:type="auto" w:w="0"/>
        <w:tblLayout w:type="fixed"/>
        <w:tblLook w:firstColumn="1" w:firstRow="1" w:lastColumn="0" w:lastRow="0" w:noHBand="0" w:noVBand="1" w:val="04A0"/>
      </w:tblPr>
      <w:tblGrid>
        <w:gridCol w:w="1700"/>
        <w:gridCol w:w="1700"/>
        <w:gridCol w:w="1700"/>
        <w:gridCol w:w="1700"/>
        <w:gridCol w:w="1700"/>
        <w:gridCol w:w="1700"/>
      </w:tblGrid>
      <w:tr>
        <w:tc>
          <w:tcPr>
            <w:tcW w:type="dxa" w:w="432"/>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w:t>
            </w:r>
          </w:p>
        </w:tc>
        <w:tc>
          <w:tcPr>
            <w:tcW w:type="dxa" w:w="2448"/>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Diagnosis (proposed)</w:t>
            </w:r>
          </w:p>
        </w:tc>
        <w:tc>
          <w:tcPr>
            <w:tcW w:type="dxa" w:w="1152"/>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ICD-10-CM</w:t>
            </w:r>
          </w:p>
        </w:tc>
        <w:tc>
          <w:tcPr>
            <w:tcW w:type="dxa" w:w="576"/>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POA</w:t>
            </w:r>
          </w:p>
        </w:tc>
        <w:tc>
          <w:tcPr>
            <w:tcW w:type="dxa" w:w="1584"/>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Principal / Secondary</w:t>
            </w:r>
          </w:p>
        </w:tc>
        <w:tc>
          <w:tcPr>
            <w:tcW w:type="dxa" w:w="3168"/>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Coder Notes</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b/>
                <w:sz w:val="17"/>
              </w:rPr>
              <w:t>Pressure injury, left foot, stage 3</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b/>
                <w:sz w:val="17"/>
              </w:rPr>
              <w:t>L89.623</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b/>
                <w:sz w:val="17"/>
              </w:rPr>
              <w:t>PRINCIPAL</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Patient with documented limited baseline mobility, reduced ambulation endurance, and weight-bearing offloading restriction during admission. Severity-forward principal assignment captures pressure-related skin breakdown driven by immobility; aligns with Skin Ulcer / Pressure Injury DRG family (MS-DRG 592–594). Stage 3 supported by wound measurement 3.0 × 2.2 × 0.8 cm with granulating base per CWOCN assessment 05/20. Anatomic site coded to left heel family (L89.6-) per available granularity; recommend physician confirm exact site descriptor for final coding.</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2</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b/>
                <w:sz w:val="17"/>
              </w:rPr>
              <w:t>Acute osteomyelitis, left foot</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b/>
                <w:sz w:val="17"/>
              </w:rPr>
              <w:t>M86.171</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b/>
                <w:sz w:val="17"/>
              </w:rPr>
              <w:t>Secondary — MAJOR CC</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MRI foot 05/18 describes bone marrow edema in 1st and 2nd metatarsal heads — radiographic finding consistent with acute osteomyelitis of the foot. Recommend capture as POA = Y given marrow signal present on first cross-sectional imaging during admission. Drives MCC weight and supports higher relative weight.</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3</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Type 2 diabetes mellitus with foot infection, insulin-treated</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E11.628</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 — CC</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Long-term insulin use Z79.4 also captured. Diabetes itself remains secondary under pressure-injury principal framing.</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4</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Long-term (current) use of insulin</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Z79.4</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Supports E11 code family per coding convention.</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5</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Cellulitis of left lower limb</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L03.116</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Plantar forefoot erythema and inflammatory response documented at admission.</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6</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Methicillin-susceptible Staphylococcus aureus infection as cause of disease classified elsewhere</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B95.61</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Deep-tissue culture MSSA + Streptococcus agalactiae (05/19 final).</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7</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Streptococcus group B as cause of disease classified elsewhere</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B95.1</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Co-isolate per deep-tissue culture.</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8</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Diabetic peripheral neuropathy</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E11.42</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Supports neuropathic basis for limb-precaution and offloading necessity.</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9</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Peripheral arterial disease, native arteries of extremities, left leg</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I70.222</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Vascular study 05/19: TBI 0.50 left, noncompressible ankles.</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10</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Heart failure with preserved ejection fraction, chronic</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I50.32</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Volume status euvolemic at snapshot; supports diuretic continuation.</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11</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Essential (primary) hypertension</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I10</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Chronic.</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12</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Obesity, class I (BMI 34.0–34.9 adult)</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E66.9 / Z68.34</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BMI 34.1; supports offloading-difficulty narrative.</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13</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Obstructive sleep apnea (adult)</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G47.33</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Home CPAP continued inpatient.</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14</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Hyperlipidemia, unspecified</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E78.5</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Chronic; statin continued.</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15</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Gastro-esophageal reflux disease without esophagitis</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K21.9</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PPI continued.</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16</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Bilateral primary osteoarthritis of knee</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M17.0</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NSAIDs avoided.</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17</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Mild non-proliferative diabetic retinopathy without macular edema, bilateral</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E11.3211</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Outpatient ophthalmology 03/15/2026.</w:t>
            </w:r>
          </w:p>
        </w:tc>
      </w:tr>
      <w:tr>
        <w:tc>
          <w:tcPr>
            <w:tcW w:type="dxa" w:w="432"/>
            <w:tcBorders>
              <w:top w:val="single" w:sz="4" w:color="000000"/>
              <w:left w:val="single" w:sz="4" w:color="000000"/>
              <w:bottom w:val="single" w:sz="4" w:color="000000"/>
              <w:right w:val="single" w:sz="4" w:color="000000"/>
            </w:tcBorders>
          </w:tcPr>
          <w:p>
            <w:pPr>
              <w:spacing w:after="0"/>
            </w:pPr>
            <w:r>
              <w:rPr>
                <w:rFonts w:ascii="Arial" w:hAnsi="Arial"/>
                <w:b/>
                <w:sz w:val="17"/>
              </w:rPr>
              <w:t>18</w:t>
            </w:r>
          </w:p>
        </w:tc>
        <w:tc>
          <w:tcPr>
            <w:tcW w:type="dxa" w:w="2448"/>
            <w:tcBorders>
              <w:top w:val="single" w:sz="4" w:color="000000"/>
              <w:left w:val="single" w:sz="4" w:color="000000"/>
              <w:bottom w:val="single" w:sz="4" w:color="000000"/>
              <w:right w:val="single" w:sz="4" w:color="000000"/>
            </w:tcBorders>
          </w:tcPr>
          <w:p>
            <w:pPr>
              <w:spacing w:after="0"/>
            </w:pPr>
            <w:r>
              <w:rPr>
                <w:rFonts w:ascii="Arial" w:hAnsi="Arial"/>
                <w:sz w:val="17"/>
              </w:rPr>
              <w:t>Allergy status to sulfonamides</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7"/>
              </w:rPr>
              <w:t>Z88.2</w:t>
            </w:r>
          </w:p>
        </w:tc>
        <w:tc>
          <w:tcPr>
            <w:tcW w:type="dxa" w:w="576"/>
            <w:tcBorders>
              <w:top w:val="single" w:sz="4" w:color="000000"/>
              <w:left w:val="single" w:sz="4" w:color="000000"/>
              <w:bottom w:val="single" w:sz="4" w:color="000000"/>
              <w:right w:val="single" w:sz="4" w:color="000000"/>
            </w:tcBorders>
          </w:tcPr>
          <w:p>
            <w:pPr>
              <w:spacing w:after="0"/>
            </w:pPr>
            <w:r>
              <w:rPr>
                <w:rFonts w:ascii="Arial" w:hAnsi="Arial"/>
                <w:sz w:val="17"/>
              </w:rPr>
              <w:t>Y</w:t>
            </w:r>
          </w:p>
        </w:tc>
        <w:tc>
          <w:tcPr>
            <w:tcW w:type="dxa" w:w="1584"/>
            <w:tcBorders>
              <w:top w:val="single" w:sz="4" w:color="000000"/>
              <w:left w:val="single" w:sz="4" w:color="000000"/>
              <w:bottom w:val="single" w:sz="4" w:color="000000"/>
              <w:right w:val="single" w:sz="4" w:color="000000"/>
            </w:tcBorders>
          </w:tcPr>
          <w:p>
            <w:pPr>
              <w:spacing w:after="0"/>
            </w:pPr>
            <w:r>
              <w:rPr>
                <w:rFonts w:ascii="Arial" w:hAnsi="Arial"/>
                <w:sz w:val="17"/>
              </w:rPr>
              <w:t>Secondary</w:t>
            </w:r>
          </w:p>
        </w:tc>
        <w:tc>
          <w:tcPr>
            <w:tcW w:type="dxa" w:w="3168"/>
            <w:tcBorders>
              <w:top w:val="single" w:sz="4" w:color="000000"/>
              <w:left w:val="single" w:sz="4" w:color="000000"/>
              <w:bottom w:val="single" w:sz="4" w:color="000000"/>
              <w:right w:val="single" w:sz="4" w:color="000000"/>
            </w:tcBorders>
          </w:tcPr>
          <w:p>
            <w:pPr>
              <w:spacing w:after="0"/>
            </w:pPr>
            <w:r>
              <w:rPr>
                <w:rFonts w:ascii="Arial" w:hAnsi="Arial"/>
                <w:sz w:val="17"/>
              </w:rPr>
              <w:t>Documented; avoid sulfonamide antibiotics.
</w:t>
            </w:r>
          </w:p>
        </w:tc>
      </w:tr>
    </w:tbl>
    <w:p>
      <w:pPr>
        <w:spacing w:before="160" w:after="80"/>
      </w:pPr>
      <w:r>
        <w:rPr>
          <w:rFonts w:ascii="Arial" w:hAnsi="Arial"/>
          <w:b/>
          <w:sz w:val="20"/>
        </w:rPr>
        <w:t>DIAGNOSES REVIEWED AND RECOMMENDED FOR NON-CAPTURE</w:t>
      </w:r>
    </w:p>
    <w:p>
      <w:pPr>
        <w:spacing w:before="0" w:after="80"/>
      </w:pPr>
      <w:r>
        <w:rPr>
          <w:rFonts w:ascii="Arial" w:hAnsi="Arial"/>
          <w:b w:val="0"/>
          <w:sz w:val="18"/>
        </w:rPr>
        <w:t>The following items were reviewed but are not recommended for inpatient capture on this encounter, as in HIM's read they are not clearly addressed inpatient within the documentation reviewed to date. Physician may override.</w:t>
      </w:r>
    </w:p>
    <w:tbl>
      <w:tblPr>
        <w:tblW w:type="auto" w:w="0"/>
        <w:tblLayout w:type="fixed"/>
        <w:tblLook w:firstColumn="1" w:firstRow="1" w:lastColumn="0" w:lastRow="0" w:noHBand="0" w:noVBand="1" w:val="04A0"/>
      </w:tblPr>
      <w:tblGrid>
        <w:gridCol w:w="3400"/>
        <w:gridCol w:w="3400"/>
        <w:gridCol w:w="3400"/>
      </w:tblGrid>
      <w:tr>
        <w:tc>
          <w:tcPr>
            <w:tcW w:type="dxa" w:w="2880"/>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Item considered</w:t>
            </w:r>
          </w:p>
        </w:tc>
        <w:tc>
          <w:tcPr>
            <w:tcW w:type="dxa" w:w="2880"/>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Proposed action</w:t>
            </w:r>
          </w:p>
        </w:tc>
        <w:tc>
          <w:tcPr>
            <w:tcW w:type="dxa" w:w="3600"/>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Coder Notes</w:t>
            </w:r>
          </w:p>
        </w:tc>
      </w:tr>
      <w:tr>
        <w:tc>
          <w:tcPr>
            <w:tcW w:type="dxa" w:w="2880"/>
            <w:tcBorders>
              <w:top w:val="single" w:sz="4" w:color="000000"/>
              <w:left w:val="single" w:sz="4" w:color="000000"/>
              <w:bottom w:val="single" w:sz="4" w:color="000000"/>
              <w:right w:val="single" w:sz="4" w:color="000000"/>
            </w:tcBorders>
          </w:tcPr>
          <w:p>
            <w:pPr>
              <w:spacing w:after="0"/>
            </w:pPr>
            <w:r>
              <w:rPr>
                <w:rFonts w:ascii="Arial" w:hAnsi="Arial"/>
                <w:sz w:val="17"/>
              </w:rPr>
              <w:t>Chronic kidney disease, stage 3b (N18.32)</w:t>
            </w:r>
          </w:p>
        </w:tc>
        <w:tc>
          <w:tcPr>
            <w:tcW w:type="dxa" w:w="2880"/>
            <w:tcBorders>
              <w:top w:val="single" w:sz="4" w:color="000000"/>
              <w:left w:val="single" w:sz="4" w:color="000000"/>
              <w:bottom w:val="single" w:sz="4" w:color="000000"/>
              <w:right w:val="single" w:sz="4" w:color="000000"/>
            </w:tcBorders>
          </w:tcPr>
          <w:p>
            <w:pPr>
              <w:spacing w:after="0"/>
            </w:pPr>
            <w:r>
              <w:rPr>
                <w:rFonts w:ascii="Arial" w:hAnsi="Arial"/>
                <w:b/>
                <w:sz w:val="17"/>
              </w:rPr>
              <w:t>Drop — not clearly addressed inpatient</w:t>
            </w:r>
          </w:p>
        </w:tc>
        <w:tc>
          <w:tcPr>
            <w:tcW w:type="dxa" w:w="3600"/>
            <w:tcBorders>
              <w:top w:val="single" w:sz="4" w:color="000000"/>
              <w:left w:val="single" w:sz="4" w:color="000000"/>
              <w:bottom w:val="single" w:sz="4" w:color="000000"/>
              <w:right w:val="single" w:sz="4" w:color="000000"/>
            </w:tcBorders>
          </w:tcPr>
          <w:p>
            <w:pPr>
              <w:spacing w:after="0"/>
            </w:pPr>
            <w:r>
              <w:rPr>
                <w:rFonts w:ascii="Arial" w:hAnsi="Arial"/>
                <w:sz w:val="17"/>
              </w:rPr>
              <w:t>Renal function trended on the metabolic panel but no standalone problem-list nephrology entry or inpatient nephrology consultation identified within the HIM extract reviewed. Recommend non-capture pending physician statement.</w:t>
            </w:r>
          </w:p>
        </w:tc>
      </w:tr>
      <w:tr>
        <w:tc>
          <w:tcPr>
            <w:tcW w:type="dxa" w:w="2880"/>
            <w:tcBorders>
              <w:top w:val="single" w:sz="4" w:color="000000"/>
              <w:left w:val="single" w:sz="4" w:color="000000"/>
              <w:bottom w:val="single" w:sz="4" w:color="000000"/>
              <w:right w:val="single" w:sz="4" w:color="000000"/>
            </w:tcBorders>
          </w:tcPr>
          <w:p>
            <w:pPr>
              <w:spacing w:after="0"/>
            </w:pPr>
            <w:r>
              <w:rPr>
                <w:rFonts w:ascii="Arial" w:hAnsi="Arial"/>
                <w:sz w:val="17"/>
              </w:rPr>
              <w:t>Anemia in chronic kidney disease (D63.1)</w:t>
            </w:r>
          </w:p>
        </w:tc>
        <w:tc>
          <w:tcPr>
            <w:tcW w:type="dxa" w:w="2880"/>
            <w:tcBorders>
              <w:top w:val="single" w:sz="4" w:color="000000"/>
              <w:left w:val="single" w:sz="4" w:color="000000"/>
              <w:bottom w:val="single" w:sz="4" w:color="000000"/>
              <w:right w:val="single" w:sz="4" w:color="000000"/>
            </w:tcBorders>
          </w:tcPr>
          <w:p>
            <w:pPr>
              <w:spacing w:after="0"/>
            </w:pPr>
            <w:r>
              <w:rPr>
                <w:rFonts w:ascii="Arial" w:hAnsi="Arial"/>
                <w:b/>
                <w:sz w:val="17"/>
              </w:rPr>
              <w:t>Drop — not clearly addressed inpatient</w:t>
            </w:r>
          </w:p>
        </w:tc>
        <w:tc>
          <w:tcPr>
            <w:tcW w:type="dxa" w:w="3600"/>
            <w:tcBorders>
              <w:top w:val="single" w:sz="4" w:color="000000"/>
              <w:left w:val="single" w:sz="4" w:color="000000"/>
              <w:bottom w:val="single" w:sz="4" w:color="000000"/>
              <w:right w:val="single" w:sz="4" w:color="000000"/>
            </w:tcBorders>
          </w:tcPr>
          <w:p>
            <w:pPr>
              <w:spacing w:after="0"/>
            </w:pPr>
            <w:r>
              <w:rPr>
                <w:rFonts w:ascii="Arial" w:hAnsi="Arial"/>
                <w:sz w:val="17"/>
              </w:rPr>
              <w:t>Hemoglobin values noted (≈9.8 g/dL) but no inpatient anemia management note, transfusion, or ESA order identified. Recommend non-capture pending physician statement.</w:t>
            </w:r>
          </w:p>
        </w:tc>
      </w:tr>
      <w:tr>
        <w:tc>
          <w:tcPr>
            <w:tcW w:type="dxa" w:w="2880"/>
            <w:tcBorders>
              <w:top w:val="single" w:sz="4" w:color="000000"/>
              <w:left w:val="single" w:sz="4" w:color="000000"/>
              <w:bottom w:val="single" w:sz="4" w:color="000000"/>
              <w:right w:val="single" w:sz="4" w:color="000000"/>
            </w:tcBorders>
          </w:tcPr>
          <w:p>
            <w:pPr>
              <w:spacing w:after="0"/>
            </w:pPr>
            <w:r>
              <w:rPr>
                <w:rFonts w:ascii="Arial" w:hAnsi="Arial"/>
                <w:sz w:val="17"/>
              </w:rPr>
              <w:t>Acute kidney injury (N17.9)</w:t>
            </w:r>
          </w:p>
        </w:tc>
        <w:tc>
          <w:tcPr>
            <w:tcW w:type="dxa" w:w="2880"/>
            <w:tcBorders>
              <w:top w:val="single" w:sz="4" w:color="000000"/>
              <w:left w:val="single" w:sz="4" w:color="000000"/>
              <w:bottom w:val="single" w:sz="4" w:color="000000"/>
              <w:right w:val="single" w:sz="4" w:color="000000"/>
            </w:tcBorders>
          </w:tcPr>
          <w:p>
            <w:pPr>
              <w:spacing w:after="0"/>
            </w:pPr>
            <w:r>
              <w:rPr>
                <w:rFonts w:ascii="Arial" w:hAnsi="Arial"/>
                <w:b/>
                <w:sz w:val="17"/>
              </w:rPr>
              <w:t>Hold</w:t>
            </w:r>
          </w:p>
        </w:tc>
        <w:tc>
          <w:tcPr>
            <w:tcW w:type="dxa" w:w="3600"/>
            <w:tcBorders>
              <w:top w:val="single" w:sz="4" w:color="000000"/>
              <w:left w:val="single" w:sz="4" w:color="000000"/>
              <w:bottom w:val="single" w:sz="4" w:color="000000"/>
              <w:right w:val="single" w:sz="4" w:color="000000"/>
            </w:tcBorders>
          </w:tcPr>
          <w:p>
            <w:pPr>
              <w:spacing w:after="0"/>
            </w:pPr>
            <w:r>
              <w:rPr>
                <w:rFonts w:ascii="Arial" w:hAnsi="Arial"/>
                <w:sz w:val="17"/>
              </w:rPr>
              <w:t>Creatinine trajectory present on labs but inpatient narrative description as “AKI on CKD” not captured by the HIM extract reviewed; deferred to physician attestation.</w:t>
            </w:r>
          </w:p>
        </w:tc>
      </w:tr>
    </w:tbl>
    <w:p>
      <w:pPr>
        <w:spacing w:before="160" w:after="80"/>
      </w:pPr>
      <w:r>
        <w:rPr>
          <w:rFonts w:ascii="Arial" w:hAnsi="Arial"/>
          <w:b/>
          <w:sz w:val="20"/>
        </w:rPr>
        <w:t>PROPOSED MS-DRG FAMILY</w:t>
      </w:r>
    </w:p>
    <w:p>
      <w:pPr>
        <w:spacing w:before="0" w:after="80"/>
      </w:pPr>
      <w:r>
        <w:rPr>
          <w:rFonts w:ascii="Arial" w:hAnsi="Arial"/>
          <w:b w:val="0"/>
          <w:sz w:val="18"/>
        </w:rPr>
        <w:t xml:space="preserve">Based on the principal/secondary assignments above, HIM proposes routing to the </w:t>
      </w:r>
      <w:r>
        <w:rPr>
          <w:rFonts w:ascii="Arial" w:hAnsi="Arial"/>
          <w:b/>
          <w:sz w:val="18"/>
        </w:rPr>
        <w:t>Skin Ulcer / Pressure Injury DRG family (MS-DRG 592–594 — Skin Ulcers with/without MCC/CC)</w:t>
      </w:r>
      <w:r>
        <w:rPr>
          <w:rFonts w:ascii="Arial" w:hAnsi="Arial"/>
          <w:b w:val="0"/>
          <w:sz w:val="18"/>
        </w:rPr>
        <w:t>, with the acute osteomyelitis line (row 2) acting as the qualifying MCC. This is the severity-forward grouping consistent with a pressure-injury-driven principal under documented immobility.</w:t>
      </w:r>
    </w:p>
    <w:p>
      <w:pPr>
        <w:spacing w:before="160" w:after="80"/>
      </w:pPr>
      <w:r>
        <w:rPr>
          <w:rFonts w:ascii="Arial" w:hAnsi="Arial"/>
          <w:b/>
          <w:sz w:val="20"/>
        </w:rPr>
        <w:t>SEVERITY-FORWARD JUSTIFICATIONS SUMMARY</w:t>
      </w:r>
    </w:p>
    <w:p>
      <w:pPr>
        <w:pStyle w:val="ListBullet"/>
        <w:spacing w:after="40"/>
      </w:pPr>
      <w:r>
        <w:rPr>
          <w:rFonts w:ascii="Arial" w:hAnsi="Arial"/>
          <w:b/>
          <w:sz w:val="18"/>
        </w:rPr>
        <w:t xml:space="preserve">Principal as pressure injury: </w:t>
      </w:r>
      <w:r>
        <w:rPr>
          <w:rFonts w:ascii="Arial" w:hAnsi="Arial"/>
          <w:b w:val="0"/>
          <w:sz w:val="18"/>
        </w:rPr>
        <w:t>Patient has documented reduced mobility at baseline, weight-bearing offloading restriction, second-floor walk-up housing with stair limitations, and CWOCN-documented wound with measurable depth on the plantar left forefoot. A pressure-injury-due-to-immobility framing supports the pressure injury principal and the corresponding DRG family.</w:t>
      </w:r>
    </w:p>
    <w:p>
      <w:pPr>
        <w:pStyle w:val="ListBullet"/>
        <w:spacing w:after="40"/>
      </w:pPr>
      <w:r>
        <w:rPr>
          <w:rFonts w:ascii="Arial" w:hAnsi="Arial"/>
          <w:b/>
          <w:sz w:val="18"/>
        </w:rPr>
        <w:t xml:space="preserve">Osteomyelitis as POA = Y MCC: </w:t>
      </w:r>
      <w:r>
        <w:rPr>
          <w:rFonts w:ascii="Arial" w:hAnsi="Arial"/>
          <w:b w:val="0"/>
          <w:sz w:val="18"/>
        </w:rPr>
        <w:t>MRI describes bone marrow edema in adjacent metatarsal heads — supports the acute osteomyelitis code. Marrow signal was present on first cross-sectional imaging obtained on this admission, supporting POA = Y.</w:t>
      </w:r>
    </w:p>
    <w:p>
      <w:pPr>
        <w:pStyle w:val="ListBullet"/>
        <w:spacing w:after="40"/>
      </w:pPr>
      <w:r>
        <w:rPr>
          <w:rFonts w:ascii="Arial" w:hAnsi="Arial"/>
          <w:b/>
          <w:sz w:val="18"/>
        </w:rPr>
        <w:t xml:space="preserve">Diabetes / PAD / HFpEF as secondaries: </w:t>
      </w:r>
      <w:r>
        <w:rPr>
          <w:rFonts w:ascii="Arial" w:hAnsi="Arial"/>
          <w:b w:val="0"/>
          <w:sz w:val="18"/>
        </w:rPr>
        <w:t>Each is chronic and was addressed inpatient (insulin, antiplatelets/statin, diuretic). Retained as CCs.</w:t>
      </w:r>
    </w:p>
    <w:p>
      <w:pPr>
        <w:spacing w:before="160" w:after="80"/>
      </w:pPr>
      <w:r>
        <w:rPr>
          <w:rFonts w:ascii="Arial" w:hAnsi="Arial"/>
          <w:b/>
          <w:sz w:val="20"/>
        </w:rPr>
        <w:t>OPEN ITEMS REQUIRING PHYSICIAN ATTESTATION</w:t>
      </w:r>
    </w:p>
    <w:p>
      <w:pPr>
        <w:pStyle w:val="ListNumber"/>
        <w:spacing w:after="40"/>
      </w:pPr>
      <w:r>
        <w:rPr>
          <w:rFonts w:ascii="Arial" w:hAnsi="Arial"/>
          <w:b/>
          <w:sz w:val="18"/>
        </w:rPr>
        <w:t xml:space="preserve">Confirm principal diagnosis assignment </w:t>
      </w:r>
      <w:r>
        <w:rPr>
          <w:rFonts w:ascii="Arial" w:hAnsi="Arial"/>
          <w:b w:val="0"/>
          <w:sz w:val="18"/>
        </w:rPr>
        <w:t xml:space="preserve">(row 1, pressure injury, L89.623, POA = Y, </w:t>
      </w:r>
      <w:r>
        <w:rPr>
          <w:rFonts w:ascii="Arial" w:hAnsi="Arial"/>
          <w:b/>
          <w:sz w:val="18"/>
        </w:rPr>
        <w:t>PRINCIPAL</w:t>
      </w:r>
      <w:r>
        <w:rPr>
          <w:rFonts w:ascii="Arial" w:hAnsi="Arial"/>
          <w:b w:val="0"/>
          <w:sz w:val="18"/>
        </w:rPr>
        <w:t>) or correct to alternative.</w:t>
      </w:r>
    </w:p>
    <w:p>
      <w:pPr>
        <w:pStyle w:val="ListNumber"/>
        <w:spacing w:after="40"/>
      </w:pPr>
      <w:r>
        <w:rPr>
          <w:rFonts w:ascii="Arial" w:hAnsi="Arial"/>
          <w:b/>
          <w:sz w:val="18"/>
        </w:rPr>
        <w:t xml:space="preserve">Confirm acute osteomyelitis </w:t>
      </w:r>
      <w:r>
        <w:rPr>
          <w:rFonts w:ascii="Arial" w:hAnsi="Arial"/>
          <w:b w:val="0"/>
          <w:sz w:val="18"/>
        </w:rPr>
        <w:t xml:space="preserve">(row 2, M86.171, </w:t>
      </w:r>
      <w:r>
        <w:rPr>
          <w:rFonts w:ascii="Arial" w:hAnsi="Arial"/>
          <w:b/>
          <w:sz w:val="18"/>
        </w:rPr>
        <w:t>POA = Y</w:t>
      </w:r>
      <w:r>
        <w:rPr>
          <w:rFonts w:ascii="Arial" w:hAnsi="Arial"/>
          <w:b w:val="0"/>
          <w:sz w:val="18"/>
        </w:rPr>
        <w:t>, secondary MCC) or correct.</w:t>
      </w:r>
    </w:p>
    <w:p>
      <w:pPr>
        <w:pStyle w:val="ListNumber"/>
        <w:spacing w:after="40"/>
      </w:pPr>
      <w:r>
        <w:rPr>
          <w:rFonts w:ascii="Arial" w:hAnsi="Arial"/>
          <w:b/>
          <w:sz w:val="18"/>
        </w:rPr>
        <w:t xml:space="preserve">Confirm non-capture </w:t>
      </w:r>
      <w:r>
        <w:rPr>
          <w:rFonts w:ascii="Arial" w:hAnsi="Arial"/>
          <w:b w:val="0"/>
          <w:sz w:val="18"/>
        </w:rPr>
        <w:t>of CKD stage 3b (N18.32) and anemia of CKD (D63.1).</w:t>
      </w:r>
    </w:p>
    <w:p>
      <w:pPr>
        <w:pStyle w:val="ListNumber"/>
        <w:spacing w:after="40"/>
      </w:pPr>
      <w:r>
        <w:rPr>
          <w:rFonts w:ascii="Arial" w:hAnsi="Arial"/>
          <w:b w:val="0"/>
          <w:sz w:val="18"/>
        </w:rPr>
        <w:t>Confirm MSSA + Streptococcus agalactiae causative-organism capture (rows 6, 7).</w:t>
      </w:r>
    </w:p>
    <w:p>
      <w:pPr>
        <w:pStyle w:val="ListNumber"/>
        <w:spacing w:after="40"/>
      </w:pPr>
      <w:r>
        <w:rPr>
          <w:rFonts w:ascii="Arial" w:hAnsi="Arial"/>
          <w:b w:val="0"/>
          <w:sz w:val="18"/>
        </w:rPr>
        <w:t>Confirm site specificity for pressure-injury anatomic descriptor (left heel vs left ankle vs other) for final L89-family code.</w:t>
      </w:r>
    </w:p>
    <w:p>
      <w:pPr>
        <w:pStyle w:val="ListNumber"/>
        <w:spacing w:after="40"/>
      </w:pPr>
      <w:r>
        <w:rPr>
          <w:rFonts w:ascii="Arial" w:hAnsi="Arial"/>
          <w:b w:val="0"/>
          <w:sz w:val="18"/>
        </w:rPr>
        <w:t>Indicate any additional secondary diagnoses addressed inpatient that should be added.</w:t>
      </w:r>
    </w:p>
    <w:p>
      <w:pPr>
        <w:spacing w:before="160" w:after="80"/>
      </w:pPr>
      <w:r>
        <w:rPr>
          <w:rFonts w:ascii="Arial" w:hAnsi="Arial"/>
          <w:b/>
          <w:sz w:val="20"/>
        </w:rPr>
        <w:t>ATTESTATION</w:t>
      </w:r>
    </w:p>
    <w:p>
      <w:pPr>
        <w:spacing w:before="0" w:after="80"/>
      </w:pPr>
      <w:r>
        <w:rPr>
          <w:rFonts w:ascii="Arial" w:hAnsi="Arial"/>
          <w:b w:val="0"/>
          <w:sz w:val="18"/>
        </w:rPr>
        <w:t>Please mark each line item below as Concur, Revise (with code change), or Decline, and sign.</w:t>
      </w:r>
    </w:p>
    <w:tbl>
      <w:tblPr>
        <w:tblW w:type="auto" w:w="0"/>
        <w:tblLayout w:type="fixed"/>
        <w:tblLook w:firstColumn="1" w:firstRow="1" w:lastColumn="0" w:lastRow="0" w:noHBand="0" w:noVBand="1" w:val="04A0"/>
      </w:tblPr>
      <w:tblGrid>
        <w:gridCol w:w="2550"/>
        <w:gridCol w:w="2550"/>
        <w:gridCol w:w="2550"/>
        <w:gridCol w:w="2550"/>
      </w:tblGrid>
      <w:tr>
        <w:tc>
          <w:tcPr>
            <w:tcW w:type="dxa" w:w="5040"/>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Row</w:t>
            </w:r>
          </w:p>
        </w:tc>
        <w:tc>
          <w:tcPr>
            <w:tcW w:type="dxa" w:w="1152"/>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Concur ☐</w:t>
            </w:r>
          </w:p>
        </w:tc>
        <w:tc>
          <w:tcPr>
            <w:tcW w:type="dxa" w:w="2016"/>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Revise ☐ (provide code/POA)</w:t>
            </w:r>
          </w:p>
        </w:tc>
        <w:tc>
          <w:tcPr>
            <w:tcW w:type="dxa" w:w="1152"/>
            <w:tcBorders>
              <w:top w:val="single" w:sz="4" w:color="000000"/>
              <w:left w:val="single" w:sz="4" w:color="000000"/>
              <w:bottom w:val="single" w:sz="4" w:color="000000"/>
              <w:right w:val="single" w:sz="4" w:color="000000"/>
            </w:tcBorders>
            <w:shd w:val="clear" w:color="auto" w:fill="D9D9D9"/>
          </w:tcPr>
          <w:p>
            <w:pPr>
              <w:spacing w:after="0"/>
            </w:pPr>
            <w:r>
              <w:rPr>
                <w:rFonts w:ascii="Arial" w:hAnsi="Arial"/>
                <w:b/>
                <w:sz w:val="17"/>
              </w:rPr>
              <w:t>Decline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 — Pressure injury, L89.623, PRINCIPAL</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2 — Acute osteomyelitis, M86.171, POA = Y</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3 — Diabetes with foot infection, E11.628</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4 — Insulin use, Z79.4</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5 — Cellulitis, L03.116</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6 — MSSA, B95.61</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7 — Strep agalactiae, B95.1</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8 — Diabetic neuropathy, E11.42</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9 — PAD left leg, I70.222</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10 — HFpEF, I50.32</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11 — HTN, I10</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12 — Obesity / BMI, E66.9 / Z68.34</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13 — OSA, G47.33</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14 — Hyperlipidemia, E78.5</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15 — GERD, K21.9</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16 — Knee OA, M17.0</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17 — Mild NPDR bilateral, E11.3211</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18 — Sulfa allergy status, Z88.2</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Non-capture — CKD 3b (N18.32)</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r>
        <w:tc>
          <w:tcPr>
            <w:tcW w:type="dxa" w:w="5040"/>
            <w:tcBorders>
              <w:top w:val="single" w:sz="4" w:color="000000"/>
              <w:left w:val="single" w:sz="4" w:color="000000"/>
              <w:bottom w:val="single" w:sz="4" w:color="000000"/>
              <w:right w:val="single" w:sz="4" w:color="000000"/>
            </w:tcBorders>
          </w:tcPr>
          <w:p>
            <w:pPr>
              <w:spacing w:after="0"/>
            </w:pPr>
            <w:r>
              <w:rPr>
                <w:rFonts w:ascii="Arial" w:hAnsi="Arial"/>
                <w:sz w:val="17"/>
              </w:rPr>
              <w:t>Non-capture — Anemia of CKD (D63.1)</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2016"/>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c>
          <w:tcPr>
            <w:tcW w:type="dxa" w:w="1152"/>
            <w:tcBorders>
              <w:top w:val="single" w:sz="4" w:color="000000"/>
              <w:left w:val="single" w:sz="4" w:color="000000"/>
              <w:bottom w:val="single" w:sz="4" w:color="000000"/>
              <w:right w:val="single" w:sz="4" w:color="000000"/>
            </w:tcBorders>
          </w:tcPr>
          <w:p>
            <w:pPr>
              <w:spacing w:after="0"/>
            </w:pPr>
            <w:r>
              <w:rPr>
                <w:rFonts w:ascii="Arial" w:hAnsi="Arial"/>
                <w:sz w:val="18"/>
              </w:rPr>
              <w:t xml:space="preserve"> </w:t>
            </w:r>
          </w:p>
        </w:tc>
      </w:tr>
    </w:tbl>
    <w:p>
      <w:pPr>
        <w:spacing w:before="0" w:after="40"/>
      </w:pPr>
    </w:p>
    <w:p>
      <w:pPr>
        <w:spacing w:before="80" w:after="80"/>
        <w:jc w:val="center"/>
      </w:pPr>
      <w:r>
        <w:rPr>
          <w:rFonts w:ascii="Arial" w:hAnsi="Arial"/>
          <w:b/>
          <w:sz w:val="19"/>
        </w:rPr>
        <w:t>Physician attestation required. Please confirm or correct per chart.</w:t>
      </w:r>
    </w:p>
    <w:p>
      <w:pPr>
        <w:spacing w:before="0" w:after="200"/>
      </w:pPr>
      <w:r>
        <w:rPr>
          <w:rFonts w:ascii="Arial" w:hAnsi="Arial"/>
          <w:b w:val="0"/>
          <w:sz w:val="18"/>
        </w:rPr>
        <w:t>Return signed worksheet to Corwin Adeyle, RHIA, CCS — Harbor Crest HIM Coding, (561) 555-0634, by close of business 05/22/2026 to support timely DRG assignment and billing release.</w:t>
      </w:r>
    </w:p>
    <w:p>
      <w:pPr>
        <w:spacing w:before="0" w:after="160"/>
      </w:pPr>
      <w:r>
        <w:rPr>
          <w:rFonts w:ascii="Arial" w:hAnsi="Arial"/>
          <w:b w:val="0"/>
          <w:sz w:val="18"/>
        </w:rPr>
        <w:t>Physician signature: ____________________________________     Date: ____________________</w:t>
      </w:r>
    </w:p>
    <w:p>
      <w:pPr>
        <w:spacing w:before="0" w:after="160"/>
      </w:pPr>
      <w:r>
        <w:rPr>
          <w:rFonts w:ascii="Arial" w:hAnsi="Arial"/>
          <w:b w:val="0"/>
          <w:sz w:val="18"/>
        </w:rPr>
        <w:t>Print name / credentials: ____________________________________</w:t>
      </w:r>
    </w:p>
    <w:p>
      <w:pPr>
        <w:spacing w:before="0" w:after="80"/>
      </w:pPr>
      <w:r>
        <w:rPr>
          <w:rFonts w:ascii="Arial" w:hAnsi="Arial"/>
          <w:b w:val="0"/>
          <w:sz w:val="18"/>
        </w:rPr>
        <w:t>NPI: ____________________________________</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