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b/>
          <w:i w:val="0"/>
          <w:sz w:val="28"/>
        </w:rPr>
        <w:t>HARBOR CREST REGIONAL MEDICAL CENTER</w:t>
      </w:r>
    </w:p>
    <w:p>
      <w:pPr>
        <w:spacing w:after="40" w:before="0"/>
        <w:jc w:val="center"/>
      </w:pPr>
      <w:r>
        <w:rPr>
          <w:rFonts w:ascii="Arial" w:hAnsi="Arial"/>
          <w:b w:val="0"/>
          <w:i w:val="0"/>
          <w:sz w:val="20"/>
        </w:rPr>
        <w:t>Clinical Documentation Integrity Department</w:t>
      </w:r>
    </w:p>
    <w:p>
      <w:pPr>
        <w:spacing w:after="40" w:before="0"/>
        <w:jc w:val="center"/>
      </w:pPr>
      <w:r>
        <w:rPr>
          <w:rFonts w:ascii="Arial" w:hAnsi="Arial"/>
          <w:b w:val="0"/>
          <w:i w:val="0"/>
          <w:sz w:val="18"/>
        </w:rPr>
        <w:t>2400 Mariners Bay Boulevard, Cypress Harbor, FL 33421</w:t>
      </w:r>
    </w:p>
    <w:p>
      <w:pPr>
        <w:spacing w:after="80" w:before="0"/>
        <w:jc w:val="center"/>
      </w:pPr>
      <w:r>
        <w:rPr>
          <w:rFonts w:ascii="Arial" w:hAnsi="Arial"/>
          <w:b w:val="0"/>
          <w:i w:val="0"/>
          <w:sz w:val="18"/>
        </w:rPr>
        <w:t>Main: (561) 555-0100</w:t>
      </w:r>
    </w:p>
    <w:p>
      <w:pPr>
        <w:spacing w:before="80" w:after="80"/>
        <w:pBdr>
          <w:bottom w:val="single" w:sz="6" w:space="1" w:color="808080"/>
        </w:pBdr>
      </w:pPr>
    </w:p>
    <w:p>
      <w:pPr>
        <w:spacing w:after="160" w:before="80"/>
        <w:jc w:val="center"/>
      </w:pPr>
      <w:r>
        <w:rPr>
          <w:rFonts w:ascii="Arial" w:hAnsi="Arial"/>
          <w:b/>
          <w:i w:val="0"/>
          <w:sz w:val="24"/>
        </w:rPr>
        <w:t>CDI Query — Documentation Specificity Request</w:t>
      </w:r>
    </w:p>
    <w:p>
      <w:pPr>
        <w:spacing w:after="40" w:before="0"/>
      </w:pPr>
      <w:r>
        <w:rPr>
          <w:rFonts w:ascii="Arial" w:hAnsi="Arial"/>
          <w:b/>
          <w:sz w:val="20"/>
        </w:rPr>
        <w:t xml:space="preserve">Date: </w:t>
      </w:r>
      <w:r>
        <w:rPr>
          <w:rFonts w:ascii="Arial" w:hAnsi="Arial"/>
          <w:b w:val="0"/>
          <w:sz w:val="20"/>
        </w:rPr>
        <w:t>05/23/2026</w:t>
      </w:r>
    </w:p>
    <w:p>
      <w:pPr>
        <w:spacing w:after="40" w:before="0"/>
      </w:pPr>
      <w:r>
        <w:rPr>
          <w:rFonts w:ascii="Arial" w:hAnsi="Arial"/>
          <w:b/>
          <w:sz w:val="20"/>
        </w:rPr>
        <w:t xml:space="preserve">To: </w:t>
      </w:r>
      <w:r>
        <w:rPr>
          <w:rFonts w:ascii="Arial" w:hAnsi="Arial"/>
          <w:b w:val="0"/>
          <w:sz w:val="20"/>
        </w:rPr>
        <w:t>Lillian Everet, MD — Attending of Record, Hospital Medicine, 6 South</w:t>
      </w:r>
    </w:p>
    <w:p>
      <w:pPr>
        <w:spacing w:after="40" w:before="0"/>
      </w:pPr>
      <w:r>
        <w:rPr>
          <w:rFonts w:ascii="Arial" w:hAnsi="Arial"/>
          <w:b/>
          <w:sz w:val="20"/>
        </w:rPr>
        <w:t xml:space="preserve">From: </w:t>
      </w:r>
      <w:r>
        <w:rPr>
          <w:rFonts w:ascii="Arial" w:hAnsi="Arial"/>
          <w:b w:val="0"/>
          <w:sz w:val="20"/>
        </w:rPr>
        <w:t>Bristol Ndiaye, RN, CCDS — Clinical Documentation Integrity Specialist</w:t>
      </w:r>
    </w:p>
    <w:p>
      <w:pPr>
        <w:spacing w:after="40" w:before="0"/>
      </w:pPr>
      <w:r>
        <w:rPr>
          <w:rFonts w:ascii="Arial" w:hAnsi="Arial"/>
          <w:b/>
          <w:sz w:val="20"/>
        </w:rPr>
        <w:t xml:space="preserve">Phone: </w:t>
      </w:r>
      <w:r>
        <w:rPr>
          <w:rFonts w:ascii="Arial" w:hAnsi="Arial"/>
          <w:b w:val="0"/>
          <w:sz w:val="20"/>
        </w:rPr>
        <w:t>(561) 555-0623</w:t>
      </w:r>
    </w:p>
    <w:p>
      <w:pPr>
        <w:spacing w:after="40" w:before="0"/>
      </w:pPr>
      <w:r>
        <w:rPr>
          <w:rFonts w:ascii="Arial" w:hAnsi="Arial"/>
          <w:b/>
          <w:sz w:val="20"/>
        </w:rPr>
        <w:t xml:space="preserve">Re: </w:t>
      </w:r>
      <w:r>
        <w:rPr>
          <w:rFonts w:ascii="Arial" w:hAnsi="Arial"/>
          <w:b w:val="0"/>
          <w:sz w:val="20"/>
        </w:rPr>
        <w:t>Ondina Vasquell  |  MRN OV-3358104  |  FIN-2207733  |  Admit 05/16/2026</w:t>
      </w:r>
    </w:p>
    <w:p>
      <w:pPr>
        <w:spacing w:after="120" w:before="0"/>
      </w:pPr>
      <w:r>
        <w:rPr>
          <w:rFonts w:ascii="Arial" w:hAnsi="Arial"/>
          <w:b/>
          <w:sz w:val="20"/>
        </w:rPr>
        <w:t xml:space="preserve">Subject: </w:t>
      </w:r>
      <w:r>
        <w:rPr>
          <w:rFonts w:ascii="Arial" w:hAnsi="Arial"/>
          <w:b w:val="0"/>
          <w:sz w:val="20"/>
        </w:rPr>
        <w:t>CDI Query — Documentation Specificity Request — MRN OV-3358104</w:t>
      </w:r>
    </w:p>
    <w:p>
      <w:pPr>
        <w:spacing w:before="80" w:after="80"/>
        <w:pBdr>
          <w:bottom w:val="single" w:sz="6" w:space="1" w:color="808080"/>
        </w:pBdr>
      </w:pPr>
    </w:p>
    <w:p>
      <w:pPr>
        <w:spacing w:after="120" w:before="80"/>
      </w:pPr>
      <w:r>
        <w:rPr>
          <w:rFonts w:ascii="Arial" w:hAnsi="Arial"/>
          <w:b w:val="0"/>
          <w:i w:val="0"/>
          <w:sz w:val="20"/>
        </w:rPr>
        <w:t>Dr. Everet,</w:t>
      </w:r>
    </w:p>
    <w:p>
      <w:pPr>
        <w:spacing w:after="120" w:before="0"/>
      </w:pPr>
      <w:r>
        <w:rPr>
          <w:rFonts w:ascii="Arial" w:hAnsi="Arial"/>
          <w:b w:val="0"/>
          <w:i w:val="0"/>
          <w:sz w:val="20"/>
        </w:rPr>
        <w:t>A concurrent review of the above patient's record has identified four areas where additional physician documentation would help ensure that the diagnoses and acuity carried in the chart are captured at the level supported by the clinical evidence. This is a compliant, non-leading CDI Query. Your response should reflect your independent clinical judgment
; multiple-choice options are offered for convenience but are not exhaustive, and a free-text response is equally acceptable.</w:t>
      </w:r>
    </w:p>
    <w:p>
      <w:pPr>
        <w:spacing w:after="120" w:before="0"/>
      </w:pPr>
      <w:r>
        <w:rPr>
          <w:rFonts w:ascii="Arial" w:hAnsi="Arial"/>
          <w:b w:val="0"/>
          <w:i w:val="0"/>
          <w:sz w:val="20"/>
        </w:rPr>
        <w:t>Please answer each item directly in the chart (progress note or addendum) referencing this query, or by completing the response section below and returning it to the CDI department.</w:t>
      </w:r>
    </w:p>
    <w:p>
      <w:pPr>
        <w:spacing w:before="80" w:after="80"/>
        <w:pBdr>
          <w:bottom w:val="single" w:sz="6" w:space="1" w:color="808080"/>
        </w:pBdr>
      </w:pPr>
    </w:p>
    <w:p>
      <w:pPr>
        <w:spacing w:after="80" w:before="80"/>
      </w:pPr>
      <w:r>
        <w:rPr>
          <w:rFonts w:ascii="Arial" w:hAnsi="Arial"/>
          <w:b/>
          <w:i w:val="0"/>
          <w:sz w:val="22"/>
        </w:rPr>
        <w:t>Item 1 — Acute Osteomyelitis, Left Foot</w:t>
      </w:r>
    </w:p>
    <w:p>
      <w:pPr>
        <w:spacing w:after="60" w:before="0"/>
      </w:pPr>
      <w:r>
        <w:rPr>
          <w:rFonts w:ascii="Arial" w:hAnsi="Arial"/>
          <w:b w:val="0"/>
          <w:i w:val="0"/>
          <w:sz w:val="20"/>
        </w:rPr>
        <w:t>Clinical indicators in the record:</w:t>
      </w:r>
    </w:p>
    <w:p>
      <w:pPr>
        <w:pStyle w:val="ListBullet"/>
        <w:spacing w:after="40"/>
        <w:ind w:left="432"/>
      </w:pPr>
      <w:r>
        <w:rPr>
          <w:rFonts w:ascii="Arial" w:hAnsi="Arial"/>
          <w:sz w:val="20"/>
        </w:rPr>
        <w:t>MRI left foot dated 05/18/2026 (accession HCR-IMG-05181844) documents bone marrow edema in the adjacent 1st and 2nd metatarsal heads next to the plantar ulcer, with the radiology impression that early osteomyelitis cannot be excluded; findings characterized as equivocal and not diagnostic alone; no cortical destruction, sequestrum, or drainable abscess described.</w:t>
      </w:r>
    </w:p>
    <w:p>
      <w:pPr>
        <w:pStyle w:val="ListBullet"/>
        <w:spacing w:after="40"/>
        <w:ind w:left="432"/>
      </w:pPr>
      <w:r>
        <w:rPr>
          <w:rFonts w:ascii="Arial" w:hAnsi="Arial"/>
          <w:sz w:val="20"/>
        </w:rPr>
        <w:t/>
      </w:r>
    </w:p>
    <w:p>
      <w:pPr>
        <w:pStyle w:val="ListBullet"/>
        <w:spacing w:after="40"/>
        <w:ind w:left="432"/>
      </w:pPr>
      <w:r>
        <w:rPr>
          <w:rFonts w:ascii="Arial" w:hAnsi="Arial"/>
          <w:sz w:val="20"/>
        </w:rPr>
        <w:t/>
      </w:r>
    </w:p>
    <w:p>
      <w:pPr>
        <w:pStyle w:val="ListBullet"/>
        <w:spacing w:after="40"/>
        <w:ind w:left="432"/>
      </w:pPr>
      <w:r>
        <w:rPr>
          <w:rFonts w:ascii="Arial" w:hAnsi="Arial"/>
          <w:sz w:val="20"/>
        </w:rPr>
        <w:t/>
      </w:r>
    </w:p>
    <w:p>
      <w:pPr>
        <w:spacing w:after="80" w:before="80"/>
      </w:pPr>
      <w:r>
        <w:rPr>
          <w:rFonts w:ascii="Arial" w:hAnsi="Arial"/>
          <w:b w:val="0"/>
          <w:sz w:val="20"/>
        </w:rPr>
        <w:t xml:space="preserve">To reflect the full severity of the encounter, please clarify whether </w:t>
      </w:r>
      <w:r>
        <w:rPr>
          <w:rFonts w:ascii="Arial" w:hAnsi="Arial"/>
          <w:b/>
          <w:sz w:val="20"/>
        </w:rPr>
        <w:t>ACUTE OSTEOMYELITIS, LEFT FOOT</w:t>
      </w:r>
      <w:r>
        <w:rPr>
          <w:rFonts w:ascii="Arial" w:hAnsi="Arial"/>
          <w:b w:val="0"/>
          <w:sz w:val="20"/>
        </w:rPr>
        <w:t xml:space="preserve"> is a clinically valid diagnosis at this admission.</w:t>
      </w:r>
    </w:p>
    <w:p>
      <w:pPr>
        <w:spacing w:after="60" w:before="0"/>
      </w:pPr>
      <w:r>
        <w:rPr>
          <w:rFonts w:ascii="Arial" w:hAnsi="Arial"/>
          <w:b w:val="0"/>
          <w:i w:val="0"/>
          <w:sz w:val="20"/>
        </w:rPr>
        <w:t>Options (choose one or provide a free-text clinical determination):</w:t>
      </w:r>
    </w:p>
    <w:p>
      <w:pPr>
        <w:pStyle w:val="ListBullet"/>
        <w:spacing w:after="40"/>
        <w:ind w:left="432"/>
      </w:pPr>
      <w:r>
        <w:rPr>
          <w:rFonts w:ascii="Arial" w:hAnsi="Arial"/>
          <w:sz w:val="20"/>
        </w:rPr>
        <w:t>(a) Acute osteomyelitis present — clinically valid</w:t>
      </w:r>
    </w:p>
    <w:p>
      <w:pPr>
        <w:pStyle w:val="ListBullet"/>
        <w:spacing w:after="40"/>
        <w:ind w:left="432"/>
      </w:pPr>
      <w:r>
        <w:rPr>
          <w:rFonts w:ascii="Arial" w:hAnsi="Arial"/>
          <w:sz w:val="20"/>
        </w:rPr>
        <w:t>(b) Acute osteomyelitis suspected but not confirmed</w:t>
      </w:r>
    </w:p>
    <w:p>
      <w:pPr>
        <w:pStyle w:val="ListBullet"/>
        <w:spacing w:after="40"/>
        <w:ind w:left="432"/>
      </w:pPr>
      <w:r>
        <w:rPr>
          <w:rFonts w:ascii="Arial" w:hAnsi="Arial"/>
          <w:sz w:val="20"/>
        </w:rPr>
        <w:t>(c) Acute osteomyelitis ruled out</w:t>
      </w:r>
    </w:p>
    <w:p>
      <w:pPr>
        <w:pStyle w:val="ListBullet"/>
        <w:spacing w:after="40"/>
        <w:ind w:left="432"/>
      </w:pPr>
      <w:r>
        <w:rPr>
          <w:rFonts w:ascii="Arial" w:hAnsi="Arial"/>
          <w:sz w:val="20"/>
        </w:rPr>
        <w:t>(d) Unable to determine — clinically not valid</w:t>
      </w:r>
    </w:p>
    <w:p>
      <w:pPr>
        <w:spacing w:before="80" w:after="80"/>
        <w:pBdr>
          <w:bottom w:val="single" w:sz="6" w:space="1" w:color="808080"/>
        </w:pBdr>
      </w:pPr>
    </w:p>
    <w:p>
      <w:pPr>
        <w:spacing w:after="80" w:before="80"/>
      </w:pPr>
      <w:r>
        <w:rPr>
          <w:rFonts w:ascii="Arial" w:hAnsi="Arial"/>
          <w:b/>
          <w:i w:val="0"/>
          <w:sz w:val="22"/>
        </w:rPr>
        <w:t>Item 2 — Diabetes specificity and complication linkage</w:t>
      </w:r>
    </w:p>
    <w:p>
      <w:pPr>
        <w:spacing w:after="80" w:before="0"/>
      </w:pPr>
      <w:r>
        <w:rPr>
          <w:rFonts w:ascii="Arial" w:hAnsi="Arial"/>
          <w:b w:val="0"/>
          <w:i w:val="0"/>
          <w:sz w:val="20"/>
        </w:rPr>
        <w:t>The record documents insulin-dependent diabetes mellitus with multiple end-organ findings (foot ulcer, peripheral neuropathy on chronic gabapentin, CKD with baseline eGFR ~38, and mild non-proliferative diabetic retinopathy bilaterally on outpatient ophthalmology dated 03/15/2026). The current documentation does not consistently specify diabetes type or link the complications to the underlying diabetes.</w:t>
      </w:r>
    </w:p>
    <w:p>
      <w:pPr>
        <w:spacing w:after="80" w:before="0"/>
      </w:pPr>
      <w:r>
        <w:rPr>
          <w:rFonts w:ascii="Arial" w:hAnsi="Arial"/>
          <w:b w:val="0"/>
          <w:i w:val="0"/>
          <w:sz w:val="20"/>
        </w:rPr>
        <w:t>Please specify diabetes type and complication linkage as supported by the chart (for example: type 2 diabetes mellitus with diabetic foot ulcer, with diabetic peripheral neuropathy, with CKD stage 3b, with mild non-proliferative diabetic retinopathy).</w:t>
      </w:r>
    </w:p>
    <w:p>
      <w:pPr>
        <w:spacing w:after="60" w:before="0"/>
      </w:pPr>
      <w:r>
        <w:rPr>
          <w:rFonts w:ascii="Arial" w:hAnsi="Arial"/>
          <w:b w:val="0"/>
          <w:i w:val="0"/>
          <w:sz w:val="20"/>
        </w:rPr>
        <w:t>Options:</w:t>
      </w:r>
    </w:p>
    <w:p>
      <w:pPr>
        <w:pStyle w:val="ListBullet"/>
        <w:spacing w:after="40"/>
        <w:ind w:left="432"/>
      </w:pPr>
      <w:r>
        <w:rPr>
          <w:rFonts w:ascii="Arial" w:hAnsi="Arial"/>
          <w:sz w:val="20"/>
        </w:rPr>
        <w:t>(a) Type 2 diabetes mellitus with the linked complications as listed above</w:t>
      </w:r>
    </w:p>
    <w:p>
      <w:pPr>
        <w:pStyle w:val="ListBullet"/>
        <w:spacing w:after="40"/>
        <w:ind w:left="432"/>
      </w:pPr>
      <w:r>
        <w:rPr>
          <w:rFonts w:ascii="Arial" w:hAnsi="Arial"/>
          <w:sz w:val="20"/>
        </w:rPr>
        <w:t>(b) Type 2 diabetes mellitus with a different subset of linked complications (please specify)</w:t>
      </w:r>
    </w:p>
    <w:p>
      <w:pPr>
        <w:pStyle w:val="ListBullet"/>
        <w:spacing w:after="40"/>
        <w:ind w:left="432"/>
      </w:pPr>
      <w:r>
        <w:rPr>
          <w:rFonts w:ascii="Arial" w:hAnsi="Arial"/>
          <w:sz w:val="20"/>
        </w:rPr>
        <w:t>(c) A different diabetes classification applies (please specify)</w:t>
      </w:r>
    </w:p>
    <w:p>
      <w:pPr>
        <w:pStyle w:val="ListBullet"/>
        <w:spacing w:after="40"/>
        <w:ind w:left="432"/>
      </w:pPr>
      <w:r>
        <w:rPr>
          <w:rFonts w:ascii="Arial" w:hAnsi="Arial"/>
          <w:sz w:val="20"/>
        </w:rPr>
        <w:t>(d) Unable to determine — clinically not valid</w:t>
      </w:r>
    </w:p>
    <w:p>
      <w:pPr>
        <w:spacing w:before="80" w:after="80"/>
        <w:pBdr>
          <w:bottom w:val="single" w:sz="6" w:space="1" w:color="808080"/>
        </w:pBdr>
      </w:pPr>
    </w:p>
    <w:p>
      <w:pPr>
        <w:spacing w:after="80" w:before="80"/>
      </w:pPr>
      <w:r>
        <w:rPr>
          <w:rFonts w:ascii="Arial" w:hAnsi="Arial"/>
          <w:b/>
          <w:i w:val="0"/>
          <w:sz w:val="22"/>
        </w:rPr>
        <w:t>Item 3 — HFpEF acuity at this admission</w:t>
      </w:r>
    </w:p>
    <w:p>
      <w:pPr>
        <w:spacing w:after="80" w:before="0"/>
      </w:pPr>
      <w:r>
        <w:rPr>
          <w:rFonts w:ascii="Arial" w:hAnsi="Arial"/>
          <w:b w:val="0"/>
          <w:i w:val="0"/>
          <w:sz w:val="20"/>
        </w:rPr>
        <w:t>Heart failure with preserved ejection fraction is carried on the problem list. The treating documentation describes the patient as euvolemic at the HD6 snapshot, with home furosemide 20 mg PO daily continued and volume-adjusted; there is no documentation of an acute exacerbation, escalation of diuretics, or new decompensation during this admission.</w:t>
      </w:r>
    </w:p>
    <w:p>
      <w:pPr>
        <w:spacing w:after="60" w:before="0"/>
      </w:pPr>
      <w:r>
        <w:rPr>
          <w:rFonts w:ascii="Arial" w:hAnsi="Arial"/>
          <w:b w:val="0"/>
          <w:i w:val="0"/>
          <w:sz w:val="20"/>
        </w:rPr>
        <w:t>Please clarify whether HFpEF at this admission is:</w:t>
      </w:r>
    </w:p>
    <w:p>
      <w:pPr>
        <w:pStyle w:val="ListBullet"/>
        <w:spacing w:after="40"/>
        <w:ind w:left="432"/>
      </w:pPr>
      <w:r>
        <w:rPr>
          <w:rFonts w:ascii="Arial" w:hAnsi="Arial"/>
          <w:sz w:val="20"/>
        </w:rPr>
        <w:t>(a) Acute (decompensated)</w:t>
      </w:r>
    </w:p>
    <w:p>
      <w:pPr>
        <w:pStyle w:val="ListBullet"/>
        <w:spacing w:after="40"/>
        <w:ind w:left="432"/>
      </w:pPr>
      <w:r>
        <w:rPr>
          <w:rFonts w:ascii="Arial" w:hAnsi="Arial"/>
          <w:sz w:val="20"/>
        </w:rPr>
        <w:t>(b) Chronic (stable, no acute exacerbation this admission)</w:t>
      </w:r>
    </w:p>
    <w:p>
      <w:pPr>
        <w:pStyle w:val="ListBullet"/>
        <w:spacing w:after="40"/>
        <w:ind w:left="432"/>
      </w:pPr>
      <w:r>
        <w:rPr>
          <w:rFonts w:ascii="Arial" w:hAnsi="Arial"/>
          <w:sz w:val="20"/>
        </w:rPr>
        <w:t>(c) Acute on chronic</w:t>
      </w:r>
    </w:p>
    <w:p>
      <w:pPr>
        <w:pStyle w:val="ListBullet"/>
        <w:spacing w:after="40"/>
        <w:ind w:left="432"/>
      </w:pPr>
      <w:r>
        <w:rPr>
          <w:rFonts w:ascii="Arial" w:hAnsi="Arial"/>
          <w:sz w:val="20"/>
        </w:rPr>
        <w:t>(d) Unable to determine — clinically not valid</w:t>
      </w:r>
    </w:p>
    <w:p>
      <w:pPr>
        <w:spacing w:before="80" w:after="80"/>
        <w:pBdr>
          <w:bottom w:val="single" w:sz="6" w:space="1" w:color="808080"/>
        </w:pBdr>
      </w:pPr>
    </w:p>
    <w:p>
      <w:pPr>
        <w:spacing w:after="80" w:before="80"/>
      </w:pPr>
      <w:r>
        <w:rPr>
          <w:rFonts w:ascii="Arial" w:hAnsi="Arial"/>
          <w:b/>
          <w:i w:val="0"/>
          <w:sz w:val="22"/>
        </w:rPr>
        <w:t>Item 4 — Anemia etiology</w:t>
      </w:r>
    </w:p>
    <w:p>
      <w:pPr>
        <w:spacing w:after="80" w:before="0"/>
      </w:pPr>
      <w:r>
        <w:rPr>
          <w:rFonts w:ascii="Arial" w:hAnsi="Arial"/>
          <w:b w:val="0"/>
          <w:i w:val="0"/>
          <w:sz w:val="20"/>
        </w:rPr>
        <w:t>The record documents a hemoglobin of approximately 9.8 g/dL trending stably through the admission, on a background of CKD stage 3b (baseline eGFR ~38), with home ferrous sulfate continued and no ESA in use. The discharge documentation currently lists "anemia" without an etiology.</w:t>
      </w:r>
    </w:p>
    <w:p>
      <w:pPr>
        <w:spacing w:after="80" w:before="0"/>
      </w:pPr>
      <w:r>
        <w:rPr>
          <w:rFonts w:ascii="Arial" w:hAnsi="Arial"/>
          <w:b w:val="0"/>
          <w:i w:val="0"/>
          <w:sz w:val="20"/>
        </w:rPr>
        <w:t>Please specify the etiology of the anemia documented this admission (for example: anemia of chronic kidney disease).</w:t>
      </w:r>
    </w:p>
    <w:p>
      <w:pPr>
        <w:spacing w:after="60" w:before="0"/>
      </w:pPr>
      <w:r>
        <w:rPr>
          <w:rFonts w:ascii="Arial" w:hAnsi="Arial"/>
          <w:b w:val="0"/>
          <w:i w:val="0"/>
          <w:sz w:val="20"/>
        </w:rPr>
        <w:t>Options:</w:t>
      </w:r>
    </w:p>
    <w:p>
      <w:pPr>
        <w:pStyle w:val="ListBullet"/>
        <w:spacing w:after="40"/>
        <w:ind w:left="432"/>
      </w:pPr>
      <w:r>
        <w:rPr>
          <w:rFonts w:ascii="Arial" w:hAnsi="Arial"/>
          <w:sz w:val="20"/>
        </w:rPr>
        <w:t>(a) Anemia of chronic kidney disease</w:t>
      </w:r>
    </w:p>
    <w:p>
      <w:pPr>
        <w:pStyle w:val="ListBullet"/>
        <w:spacing w:after="40"/>
        <w:ind w:left="432"/>
      </w:pPr>
      <w:r>
        <w:rPr>
          <w:rFonts w:ascii="Arial" w:hAnsi="Arial"/>
          <w:sz w:val="20"/>
        </w:rPr>
        <w:t>(b) A different specified etiology (please specify)</w:t>
      </w:r>
    </w:p>
    <w:p>
      <w:pPr>
        <w:pStyle w:val="ListBullet"/>
        <w:spacing w:after="40"/>
        <w:ind w:left="432"/>
      </w:pPr>
      <w:r>
        <w:rPr>
          <w:rFonts w:ascii="Arial" w:hAnsi="Arial"/>
          <w:sz w:val="20"/>
        </w:rPr>
        <w:t>(c) Unable to determine — clinically not valid</w:t>
      </w:r>
    </w:p>
    <w:p>
      <w:pPr>
        <w:spacing w:before="80" w:after="80"/>
        <w:pBdr>
          <w:bottom w:val="single" w:sz="6" w:space="1" w:color="808080"/>
        </w:pBdr>
      </w:pPr>
    </w:p>
    <w:p>
      <w:pPr>
        <w:spacing w:after="120" w:before="80"/>
      </w:pPr>
      <w:r>
        <w:rPr>
          <w:rFonts w:ascii="Arial" w:hAnsi="Arial"/>
          <w:b/>
          <w:sz w:val="20"/>
        </w:rPr>
        <w:t xml:space="preserve">Response (Item 1 — Acute osteomyelitis):  </w:t>
      </w:r>
      <w:r>
        <w:rPr>
          <w:rFonts w:ascii="Arial" w:hAnsi="Arial"/>
          <w:b w:val="0"/>
          <w:sz w:val="20"/>
        </w:rPr>
        <w:t>______________________________________________</w:t>
      </w:r>
    </w:p>
    <w:p>
      <w:pPr>
        <w:spacing w:after="120" w:before="0"/>
      </w:pPr>
      <w:r>
        <w:rPr>
          <w:rFonts w:ascii="Arial" w:hAnsi="Arial"/>
          <w:b/>
          <w:sz w:val="20"/>
        </w:rPr>
        <w:t xml:space="preserve">Response (Item 2 — Diabetes specificity):  </w:t>
      </w:r>
      <w:r>
        <w:rPr>
          <w:rFonts w:ascii="Arial" w:hAnsi="Arial"/>
          <w:b w:val="0"/>
          <w:sz w:val="20"/>
        </w:rPr>
        <w:t>______________________________________________</w:t>
      </w:r>
    </w:p>
    <w:p>
      <w:pPr>
        <w:spacing w:after="120" w:before="0"/>
      </w:pPr>
      <w:r>
        <w:rPr>
          <w:rFonts w:ascii="Arial" w:hAnsi="Arial"/>
          <w:b/>
          <w:sz w:val="20"/>
        </w:rPr>
        <w:t xml:space="preserve">Response (Item 3 — HFpEF acuity):  </w:t>
      </w:r>
      <w:r>
        <w:rPr>
          <w:rFonts w:ascii="Arial" w:hAnsi="Arial"/>
          <w:b w:val="0"/>
          <w:sz w:val="20"/>
        </w:rPr>
        <w:t>______________________________________________</w:t>
      </w:r>
    </w:p>
    <w:p>
      <w:pPr>
        <w:spacing w:after="120" w:before="0"/>
      </w:pPr>
      <w:r>
        <w:rPr>
          <w:rFonts w:ascii="Arial" w:hAnsi="Arial"/>
          <w:b/>
          <w:sz w:val="20"/>
        </w:rPr>
        <w:t xml:space="preserve">Response (Item 4 — Anemia etiology):  </w:t>
      </w:r>
      <w:r>
        <w:rPr>
          <w:rFonts w:ascii="Arial" w:hAnsi="Arial"/>
          <w:b w:val="0"/>
          <w:sz w:val="20"/>
        </w:rPr>
        <w:t>______________________________________________</w:t>
      </w:r>
    </w:p>
    <w:p>
      <w:pPr>
        <w:spacing w:before="80" w:after="80"/>
        <w:pBdr>
          <w:bottom w:val="single" w:sz="6" w:space="1" w:color="808080"/>
        </w:pBdr>
      </w:pPr>
    </w:p>
    <w:p>
      <w:pPr>
        <w:spacing w:after="120" w:before="80"/>
      </w:pPr>
      <w:r>
        <w:rPr>
          <w:rFonts w:ascii="Arial" w:hAnsi="Arial"/>
          <w:b w:val="0"/>
          <w:i w:val="0"/>
          <w:sz w:val="20"/>
        </w:rPr>
        <w:t>This is a compliant CDI query. The intent is solely to obtain documentation that accurately reflects your clinical judgment as the attending of record; it is not intended to lead the provider toward a particular diagnosis, nor to suggest documentation that is not clinically supported. Please respond based on your independent clinical judgment as the attending of record.
</w:t>
      </w:r>
    </w:p>
    <w:p>
      <w:pPr>
        <w:spacing w:after="200" w:before="0"/>
      </w:pPr>
      <w:r>
        <w:rPr>
          <w:rFonts w:ascii="Arial" w:hAnsi="Arial"/>
          <w:b/>
          <w:i w:val="0"/>
          <w:sz w:val="20"/>
        </w:rPr>
        <w:t>Compliant CDI query — please respond by 05/26/2026.</w:t>
      </w:r>
    </w:p>
    <w:p>
      <w:pPr>
        <w:spacing w:after="240" w:before="0"/>
      </w:pPr>
      <w:r>
        <w:rPr>
          <w:rFonts w:ascii="Arial" w:hAnsi="Arial"/>
          <w:b w:val="0"/>
          <w:i w:val="0"/>
          <w:sz w:val="20"/>
        </w:rPr>
        <w:t>Thank you,</w:t>
      </w:r>
    </w:p>
    <w:p>
      <w:pPr>
        <w:spacing w:after="40" w:before="0"/>
      </w:pPr>
      <w:r>
        <w:rPr>
          <w:rFonts w:ascii="Arial" w:hAnsi="Arial"/>
          <w:b/>
          <w:i w:val="0"/>
          <w:sz w:val="20"/>
        </w:rPr>
        <w:t>Bristol Ndiaye, RN, CCDS</w:t>
      </w:r>
    </w:p>
    <w:p>
      <w:pPr>
        <w:spacing w:after="40" w:before="0"/>
      </w:pPr>
      <w:r>
        <w:rPr>
          <w:rFonts w:ascii="Arial" w:hAnsi="Arial"/>
          <w:b w:val="0"/>
          <w:i w:val="0"/>
          <w:sz w:val="20"/>
        </w:rPr>
        <w:t>Clinical Documentation Integrity Specialist</w:t>
      </w:r>
    </w:p>
    <w:p>
      <w:pPr>
        <w:spacing w:after="40" w:before="0"/>
      </w:pPr>
      <w:r>
        <w:rPr>
          <w:rFonts w:ascii="Arial" w:hAnsi="Arial"/>
          <w:b w:val="0"/>
          <w:i w:val="0"/>
          <w:sz w:val="20"/>
        </w:rPr>
        <w:t>Harbor Crest CDI Department</w:t>
      </w:r>
    </w:p>
    <w:p>
      <w:pPr>
        <w:spacing w:after="160" w:before="0"/>
      </w:pPr>
      <w:r>
        <w:rPr>
          <w:rFonts w:ascii="Arial" w:hAnsi="Arial"/>
          <w:b w:val="0"/>
          <w:i w:val="0"/>
          <w:sz w:val="20"/>
        </w:rPr>
        <w:t>(561) 555-0623</w:t>
      </w:r>
    </w:p>
    <w:p>
      <w:pPr>
        <w:spacing w:before="80" w:after="80"/>
        <w:pBdr>
          <w:bottom w:val="single" w:sz="6" w:space="1" w:color="808080"/>
        </w:pBdr>
      </w:pPr>
    </w:p>
    <w:p>
      <w:pPr>
        <w:spacing w:after="40" w:before="80"/>
      </w:pPr>
      <w:r>
        <w:rPr>
          <w:rFonts w:ascii="Arial" w:hAnsi="Arial"/>
          <w:b w:val="0"/>
          <w:i/>
          <w:sz w:val="18"/>
        </w:rPr>
        <w:t>cc: HIM Coding (C. Adeyle, RHIA, CCS) — pending physician response prior to final code assignment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