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Crestline Medicare Advantage HMO</w:t>
      </w:r>
    </w:p>
    <w:p>
      <w:pPr>
        <w:spacing w:after="40"/>
        <w:jc w:val="center"/>
      </w:pPr>
      <w:r>
        <w:rPr>
          <w:rFonts w:ascii="Times New Roman" w:hAnsi="Times New Roman"/>
          <w:b w:val="0"/>
          <w:i w:val="0"/>
        </w:rPr>
        <w:t>Utilization Management Department</w:t>
      </w:r>
    </w:p>
    <w:p>
      <w:pPr>
        <w:spacing w:after="40"/>
        <w:jc w:val="center"/>
      </w:pPr>
      <w:r>
        <w:rPr>
          <w:rFonts w:ascii="Times New Roman" w:hAnsi="Times New Roman"/>
          <w:b w:val="0"/>
          <w:i w:val="0"/>
        </w:rPr>
        <w:t>P.O. Box 4471</w:t>
      </w:r>
    </w:p>
    <w:p>
      <w:pPr>
        <w:spacing w:after="40"/>
        <w:jc w:val="center"/>
      </w:pPr>
      <w:r>
        <w:rPr>
          <w:rFonts w:ascii="Times New Roman" w:hAnsi="Times New Roman"/>
          <w:b w:val="0"/>
          <w:i w:val="0"/>
        </w:rPr>
        <w:t>Tallahassee, FL 32301</w:t>
      </w:r>
    </w:p>
    <w:p>
      <w:pPr>
        <w:spacing w:after="80"/>
        <w:jc w:val="center"/>
      </w:pPr>
      <w:r>
        <w:rPr>
          <w:rFonts w:ascii="Times New Roman" w:hAnsi="Times New Roman"/>
          <w:b w:val="0"/>
          <w:i w:val="0"/>
        </w:rPr>
        <w:t>Member Services / Provider Line: (800) 555-0719</w:t>
      </w:r>
    </w:p>
    <w:p>
      <w:pPr>
        <w:pBdr>
          <w:bottom w:val="single" w:sz="6" w:space="1" w:color="000000"/>
        </w:pBdr>
      </w:pPr>
    </w:p>
    <w:p>
      <w:pPr>
        <w:spacing w:after="200" w:before="80"/>
      </w:pPr>
      <w:r>
        <w:rPr>
          <w:rFonts w:ascii="Times New Roman" w:hAnsi="Times New Roman"/>
          <w:b w:val="0"/>
          <w:i w:val="0"/>
        </w:rPr>
        <w:t>05/23/2026
</w:t>
      </w:r>
    </w:p>
    <w:p>
      <w:pPr>
        <w:spacing w:after="40"/>
      </w:pPr>
      <w:r>
        <w:rPr>
          <w:rFonts w:ascii="Times New Roman" w:hAnsi="Times New Roman"/>
          <w:b w:val="0"/>
          <w:i w:val="0"/>
        </w:rPr>
        <w:t>Lillian Everet, MD</w:t>
      </w:r>
    </w:p>
    <w:p>
      <w:pPr>
        <w:spacing w:after="40"/>
      </w:pPr>
      <w:r>
        <w:rPr>
          <w:rFonts w:ascii="Times New Roman" w:hAnsi="Times New Roman"/>
          <w:b w:val="0"/>
          <w:i w:val="0"/>
        </w:rPr>
        <w:t>c/o Harbor Crest Regional Medical Center</w:t>
      </w:r>
    </w:p>
    <w:p>
      <w:pPr>
        <w:spacing w:after="40"/>
      </w:pPr>
      <w:r>
        <w:rPr>
          <w:rFonts w:ascii="Times New Roman" w:hAnsi="Times New Roman"/>
          <w:b w:val="0"/>
          <w:i w:val="0"/>
        </w:rPr>
        <w:t>Case Management Department</w:t>
      </w:r>
    </w:p>
    <w:p>
      <w:pPr>
        <w:spacing w:after="40"/>
      </w:pPr>
      <w:r>
        <w:rPr>
          <w:rFonts w:ascii="Times New Roman" w:hAnsi="Times New Roman"/>
          <w:b w:val="0"/>
          <w:i w:val="0"/>
        </w:rPr>
        <w:t>2400 Mariners Bay Boulevard</w:t>
      </w:r>
    </w:p>
    <w:p>
      <w:pPr>
        <w:spacing w:after="200"/>
      </w:pPr>
      <w:r>
        <w:rPr>
          <w:rFonts w:ascii="Times New Roman" w:hAnsi="Times New Roman"/>
          <w:b w:val="0"/>
          <w:i w:val="0"/>
        </w:rPr>
        <w:t>Cypress Harbor, FL 33421</w:t>
      </w:r>
    </w:p>
    <w:p>
      <w:pPr>
        <w:spacing w:after="40"/>
      </w:pPr>
      <w:r>
        <w:rPr>
          <w:rFonts w:ascii="Times New Roman" w:hAnsi="Times New Roman"/>
          <w:b/>
          <w:i w:val="0"/>
        </w:rPr>
        <w:t xml:space="preserve">Re:  </w:t>
      </w:r>
      <w:r>
        <w:rPr>
          <w:rFonts w:ascii="Times New Roman" w:hAnsi="Times New Roman"/>
          <w:b w:val="0"/>
          <w:i w:val="0"/>
        </w:rPr>
        <w:t>Member: Ondina Vasquell</w:t>
      </w:r>
    </w:p>
    <w:p>
      <w:pPr>
        <w:spacing w:after="40"/>
      </w:pPr>
      <w:r>
        <w:rPr>
          <w:rFonts w:ascii="Times New Roman" w:hAnsi="Times New Roman"/>
          <w:b w:val="0"/>
          <w:i w:val="0"/>
        </w:rPr>
        <w:t xml:space="preserve">        DOB: 03/14/1958</w:t>
      </w:r>
    </w:p>
    <w:p>
      <w:pPr>
        <w:spacing w:after="40"/>
      </w:pPr>
      <w:r>
        <w:rPr>
          <w:rFonts w:ascii="Times New Roman" w:hAnsi="Times New Roman"/>
          <w:b w:val="0"/>
          <w:i w:val="0"/>
        </w:rPr>
        <w:t xml:space="preserve">        Member ID: CMA-7728-4416-02</w:t>
      </w:r>
    </w:p>
    <w:p>
      <w:pPr>
        <w:spacing w:after="40"/>
      </w:pPr>
      <w:r>
        <w:rPr>
          <w:rFonts w:ascii="Times New Roman" w:hAnsi="Times New Roman"/>
          <w:b w:val="0"/>
          <w:i w:val="0"/>
        </w:rPr>
        <w:t xml:space="preserve">        Group: FL-MA-2026</w:t>
      </w:r>
    </w:p>
    <w:p>
      <w:pPr>
        <w:spacing w:after="40"/>
      </w:pPr>
      <w:r>
        <w:rPr>
          <w:rFonts w:ascii="Times New Roman" w:hAnsi="Times New Roman"/>
          <w:b w:val="0"/>
          <w:i w:val="0"/>
        </w:rPr>
        <w:t xml:space="preserve">        Case Reference: CMA-UM-2026-447128</w:t>
      </w:r>
    </w:p>
    <w:p>
      <w:pPr>
        <w:spacing w:after="200"/>
      </w:pPr>
      <w:r>
        <w:rPr>
          <w:rFonts w:ascii="Times New Roman" w:hAnsi="Times New Roman"/>
          <w:b w:val="0"/>
          <w:i w:val="0"/>
        </w:rPr>
        <w:t xml:space="preserve">        Admitting Facility: Harbor Crest Regional Medical Center</w:t>
      </w:r>
    </w:p>
    <w:p>
      <w:pPr>
        <w:spacing w:after="200"/>
      </w:pPr>
      <w:r>
        <w:rPr>
          <w:rFonts w:ascii="Times New Roman" w:hAnsi="Times New Roman"/>
          <w:b/>
          <w:i w:val="0"/>
        </w:rPr>
        <w:t>Subject: Notice of Adverse Organization Determination — Skilled Nursing Facility Placement</w:t>
      </w:r>
    </w:p>
    <w:p>
      <w:pPr>
        <w:spacing w:after="160"/>
      </w:pPr>
      <w:r>
        <w:rPr>
          <w:rFonts w:ascii="Times New Roman" w:hAnsi="Times New Roman"/>
          <w:b w:val="0"/>
          <w:i w:val="0"/>
        </w:rPr>
        <w:t>Dear Dr. Everet:</w:t>
      </w:r>
    </w:p>
    <w:p>
      <w:pPr>
        <w:spacing w:after="160"/>
      </w:pPr>
      <w:r>
        <w:rPr>
          <w:rFonts w:ascii="Times New Roman" w:hAnsi="Times New Roman"/>
          <w:b w:val="0"/>
          <w:i w:val="0"/>
        </w:rPr>
        <w:t>Crestline Medicare Advantage HMO has completed its review of the request submitted by Harbor Crest Regional Medical Center Case Management for post-acute skilled nursing facility (SNF) authorization for the above-referenced member following the inpatient admission for diabetic foot infection of the left forefoot.</w:t>
      </w:r>
    </w:p>
    <w:p>
      <w:pPr>
        <w:spacing w:after="200"/>
      </w:pPr>
      <w:r>
        <w:rPr>
          <w:rFonts w:ascii="Times New Roman" w:hAnsi="Times New Roman"/>
          <w:b w:val="0"/>
          <w:i w:val="0"/>
        </w:rPr>
        <w:t xml:space="preserve">After review of the clinical information provided, including hospital course summary, laboratory trend, and the most recent nursing and provider documentation supplied to the plan, the plan has determined that </w:t>
      </w:r>
      <w:r>
        <w:rPr>
          <w:rFonts w:ascii="Times New Roman" w:hAnsi="Times New Roman"/>
          <w:b/>
          <w:i w:val="0"/>
        </w:rPr>
        <w:t>skilled nursing facility level of care is NOT medically necessary at this time</w:t>
      </w:r>
      <w:r>
        <w:rPr>
          <w:rFonts w:ascii="Times New Roman" w:hAnsi="Times New Roman"/>
          <w:b w:val="0"/>
          <w:i w:val="0"/>
        </w:rPr>
        <w:t>. The request for SNF placement is therefore denied.</w:t>
      </w:r>
    </w:p>
    <w:p>
      <w:pPr>
        <w:spacing w:after="120"/>
      </w:pPr>
      <w:r>
        <w:rPr>
          <w:rFonts w:ascii="Times New Roman" w:hAnsi="Times New Roman"/>
          <w:b/>
          <w:i w:val="0"/>
        </w:rPr>
        <w:t>Rationale for Determination</w:t>
      </w:r>
    </w:p>
    <w:p>
      <w:pPr>
        <w:spacing w:after="120"/>
      </w:pPr>
      <w:r>
        <w:rPr>
          <w:rFonts w:ascii="Times New Roman" w:hAnsi="Times New Roman"/>
          <w:b w:val="0"/>
          <w:i w:val="0"/>
        </w:rPr>
        <w:t>The clinical information submitted reflects a member whose acute medical condition has materially improved over the course of the inpatient stay. Specifically:</w:t>
      </w:r>
    </w:p>
    <w:p>
      <w:pPr>
        <w:pStyle w:val="ListBullet"/>
        <w:spacing w:after="80"/>
      </w:pPr>
      <w:r>
        <w:rPr>
          <w:rFonts w:ascii="Times New Roman" w:hAnsi="Times New Roman"/>
          <w:sz w:val="22"/>
        </w:rPr>
        <w:t>Inflammatory markers are improving. Most recent white blood cell count is WBC 8.9 (K/µL), within normal range and trending downward from the admission value. The member has been afebrile by hospital day 6, with documented normalization of temperature over the course of the admission.</w:t>
      </w:r>
    </w:p>
    <w:p>
      <w:pPr>
        <w:pStyle w:val="ListBullet"/>
        <w:spacing w:after="80"/>
      </w:pPr>
      <w:r>
        <w:rPr>
          <w:rFonts w:ascii="Times New Roman" w:hAnsi="Times New Roman"/>
          <w:sz w:val="22"/>
        </w:rPr>
        <w:t>Renal function is improving toward the member's documented outpatient baseline. Serum creatinine has trended downward through the admission, consistent with resolution of the acute kidney injury component noted on presentation.</w:t>
      </w:r>
    </w:p>
    <w:p>
      <w:pPr>
        <w:pStyle w:val="ListBullet"/>
        <w:spacing w:after="80"/>
      </w:pPr>
      <w:r>
        <w:rPr>
          <w:rFonts w:ascii="Times New Roman" w:hAnsi="Times New Roman"/>
          <w:sz w:val="22"/>
        </w:rPr>
        <w:t>Hemodynamic parameters are stable. Heart rate, blood pressure, respiratory rate, and oxygen saturation on room air are within acceptable ranges on the most recent flowsheet entries provided.</w:t>
      </w:r>
    </w:p>
    <w:p>
      <w:pPr>
        <w:pStyle w:val="ListBullet"/>
        <w:spacing w:after="80"/>
      </w:pPr>
      <w:r>
        <w:rPr>
          <w:rFonts w:ascii="Times New Roman" w:hAnsi="Times New Roman"/>
          <w:sz w:val="22"/>
        </w:rPr>
        <w:t>Source control has been addressed at the bedside, and the operative pathology submitted with the request does not establish osteomyelitis in the tissue examined.</w:t>
      </w:r>
    </w:p>
    <w:p>
      <w:pPr>
        <w:pStyle w:val="ListBullet"/>
        <w:spacing w:after="80"/>
      </w:pPr>
      <w:r>
        <w:rPr>
          <w:rFonts w:ascii="Times New Roman" w:hAnsi="Times New Roman"/>
          <w:sz w:val="22"/>
        </w:rPr>
        <w:t>The member has an able-bodied adult daughter listed in the medical record as primary caregiver and emergency contact.</w:t>
      </w:r>
    </w:p>
    <w:p>
      <w:pPr>
        <w:spacing w:after="160"/>
      </w:pPr>
      <w:r>
        <w:rPr>
          <w:rFonts w:ascii="Times New Roman" w:hAnsi="Times New Roman"/>
          <w:b w:val="0"/>
          <w:i w:val="0"/>
        </w:rPr>
        <w:t xml:space="preserve">Based on the foregoing, the available clinical information supports discharge to </w:t>
      </w:r>
      <w:r>
        <w:rPr>
          <w:rFonts w:ascii="Times New Roman" w:hAnsi="Times New Roman"/>
          <w:b/>
          <w:i w:val="0"/>
        </w:rPr>
        <w:t>home with home-health nursing</w:t>
      </w:r>
      <w:r>
        <w:rPr>
          <w:rFonts w:ascii="Times New Roman" w:hAnsi="Times New Roman"/>
          <w:b w:val="0"/>
          <w:i w:val="0"/>
        </w:rPr>
        <w:t xml:space="preserve"> rather than to a skilled nursing facility. Home-health agencies contracted with the plan routinely provide skilled dressing changes, wound assessment, medication reconciliation support, and patient and caregiver education in the home setting at a frequency appropriate to the documented wound stage. The presence of an identified adult caregiver in the household further supports a safe home-based plan of care.</w:t>
      </w:r>
    </w:p>
    <w:p>
      <w:pPr>
        <w:spacing w:after="200"/>
      </w:pPr>
      <w:r>
        <w:rPr>
          <w:rFonts w:ascii="Times New Roman" w:hAnsi="Times New Roman"/>
          <w:b w:val="0"/>
          <w:i w:val="0"/>
        </w:rPr>
        <w:t>The plan therefore finds that the requested SNF admission does not meet medical necessity criteria for Medicare Advantage post-acute skilled nursing benefits. Home health with skilled nursing visits is the appropriate and least-restrictive setting consistent with the clinical information made available to this reviewer.</w:t>
      </w:r>
    </w:p>
    <w:p>
      <w:pPr>
        <w:spacing w:after="120"/>
      </w:pPr>
      <w:r>
        <w:rPr>
          <w:rFonts w:ascii="Times New Roman" w:hAnsi="Times New Roman"/>
          <w:b/>
          <w:i w:val="0"/>
        </w:rPr>
        <w:t>Coverage Determination</w:t>
      </w:r>
    </w:p>
    <w:tbl>
      <w:tblPr>
        <w:tblStyle w:val="TableGrid"/>
        <w:tblW w:type="auto" w:w="0"/>
        <w:tblLayout w:type="fixed"/>
        <w:tblLook w:firstColumn="1" w:firstRow="1" w:lastColumn="0" w:lastRow="0" w:noHBand="0" w:noVBand="1" w:val="04A0"/>
      </w:tblPr>
      <w:tblGrid>
        <w:gridCol w:w="4680"/>
        <w:gridCol w:w="4680"/>
      </w:tblGrid>
      <w:tr>
        <w:tc>
          <w:tcPr>
            <w:tcW w:type="dxa" w:w="3456"/>
            <w:vAlign w:val="center"/>
          </w:tcPr>
          <w:p>
            <w:pPr>
              <w:spacing w:after="0"/>
            </w:pPr>
            <w:r/>
            <w:r>
              <w:rPr>
                <w:rFonts w:ascii="Times New Roman" w:hAnsi="Times New Roman"/>
                <w:b/>
                <w:sz w:val="22"/>
              </w:rPr>
              <w:t>Item</w:t>
            </w:r>
          </w:p>
        </w:tc>
        <w:tc>
          <w:tcPr>
            <w:tcW w:type="dxa" w:w="5184"/>
            <w:vAlign w:val="center"/>
          </w:tcPr>
          <w:p>
            <w:pPr>
              <w:spacing w:after="0"/>
            </w:pPr>
            <w:r/>
            <w:r>
              <w:rPr>
                <w:rFonts w:ascii="Times New Roman" w:hAnsi="Times New Roman"/>
                <w:b/>
                <w:sz w:val="22"/>
              </w:rPr>
              <w:t>Determination</w:t>
            </w:r>
          </w:p>
        </w:tc>
      </w:tr>
      <w:tr>
        <w:tc>
          <w:tcPr>
            <w:tcW w:type="dxa" w:w="3456"/>
            <w:vAlign w:val="center"/>
          </w:tcPr>
          <w:p>
            <w:pPr>
              <w:spacing w:after="0"/>
            </w:pPr>
            <w:r/>
            <w:r>
              <w:rPr>
                <w:rFonts w:ascii="Times New Roman" w:hAnsi="Times New Roman"/>
                <w:b w:val="0"/>
                <w:sz w:val="22"/>
              </w:rPr>
              <w:t>Requested service</w:t>
            </w:r>
          </w:p>
        </w:tc>
        <w:tc>
          <w:tcPr>
            <w:tcW w:type="dxa" w:w="5184"/>
            <w:vAlign w:val="center"/>
          </w:tcPr>
          <w:p>
            <w:pPr>
              <w:spacing w:after="0"/>
            </w:pPr>
            <w:r/>
            <w:r>
              <w:rPr>
                <w:rFonts w:ascii="Times New Roman" w:hAnsi="Times New Roman"/>
                <w:b w:val="0"/>
                <w:sz w:val="22"/>
              </w:rPr>
              <w:t>Skilled nursing facility placement, post-acute</w:t>
            </w:r>
          </w:p>
        </w:tc>
      </w:tr>
      <w:tr>
        <w:tc>
          <w:tcPr>
            <w:tcW w:type="dxa" w:w="3456"/>
            <w:vAlign w:val="center"/>
          </w:tcPr>
          <w:p>
            <w:pPr>
              <w:spacing w:after="0"/>
            </w:pPr>
            <w:r/>
            <w:r>
              <w:rPr>
                <w:rFonts w:ascii="Times New Roman" w:hAnsi="Times New Roman"/>
                <w:b w:val="0"/>
                <w:sz w:val="22"/>
              </w:rPr>
              <w:t>Date of request</w:t>
            </w:r>
          </w:p>
        </w:tc>
        <w:tc>
          <w:tcPr>
            <w:tcW w:type="dxa" w:w="5184"/>
            <w:vAlign w:val="center"/>
          </w:tcPr>
          <w:p>
            <w:pPr>
              <w:spacing w:after="0"/>
            </w:pPr>
            <w:r/>
            <w:r>
              <w:rPr>
                <w:rFonts w:ascii="Times New Roman" w:hAnsi="Times New Roman"/>
                <w:b w:val="0"/>
                <w:sz w:val="22"/>
              </w:rPr>
              <w:t>05/22/2026</w:t>
            </w:r>
          </w:p>
        </w:tc>
      </w:tr>
      <w:tr>
        <w:tc>
          <w:tcPr>
            <w:tcW w:type="dxa" w:w="3456"/>
            <w:vAlign w:val="center"/>
          </w:tcPr>
          <w:p>
            <w:pPr>
              <w:spacing w:after="0"/>
            </w:pPr>
            <w:r/>
            <w:r>
              <w:rPr>
                <w:rFonts w:ascii="Times New Roman" w:hAnsi="Times New Roman"/>
                <w:b w:val="0"/>
                <w:sz w:val="22"/>
              </w:rPr>
              <w:t>Decision</w:t>
            </w:r>
          </w:p>
        </w:tc>
        <w:tc>
          <w:tcPr>
            <w:tcW w:type="dxa" w:w="5184"/>
            <w:vAlign w:val="center"/>
          </w:tcPr>
          <w:p>
            <w:pPr>
              <w:spacing w:after="0"/>
            </w:pPr>
            <w:r/>
            <w:r>
              <w:rPr>
                <w:rFonts w:ascii="Times New Roman" w:hAnsi="Times New Roman"/>
                <w:b w:val="0"/>
                <w:sz w:val="22"/>
              </w:rPr>
              <w:t>Denied — not medically necessary</w:t>
            </w:r>
          </w:p>
        </w:tc>
      </w:tr>
      <w:tr>
        <w:tc>
          <w:tcPr>
            <w:tcW w:type="dxa" w:w="3456"/>
            <w:vAlign w:val="center"/>
          </w:tcPr>
          <w:p>
            <w:pPr>
              <w:spacing w:after="0"/>
            </w:pPr>
            <w:r/>
            <w:r>
              <w:rPr>
                <w:rFonts w:ascii="Times New Roman" w:hAnsi="Times New Roman"/>
                <w:b w:val="0"/>
                <w:sz w:val="22"/>
              </w:rPr>
              <w:t>Alternative covered benefit</w:t>
            </w:r>
          </w:p>
        </w:tc>
        <w:tc>
          <w:tcPr>
            <w:tcW w:type="dxa" w:w="5184"/>
            <w:vAlign w:val="center"/>
          </w:tcPr>
          <w:p>
            <w:pPr>
              <w:spacing w:after="0"/>
            </w:pPr>
            <w:r/>
            <w:r>
              <w:rPr>
                <w:rFonts w:ascii="Times New Roman" w:hAnsi="Times New Roman"/>
                <w:b w:val="0"/>
                <w:sz w:val="22"/>
              </w:rPr>
              <w:t>Home health with skilled nursing, contracted agency</w:t>
            </w:r>
          </w:p>
        </w:tc>
      </w:tr>
      <w:tr>
        <w:tc>
          <w:tcPr>
            <w:tcW w:type="dxa" w:w="3456"/>
            <w:vAlign w:val="center"/>
          </w:tcPr>
          <w:p>
            <w:pPr>
              <w:spacing w:after="0"/>
            </w:pPr>
            <w:r/>
            <w:r>
              <w:rPr>
                <w:rFonts w:ascii="Times New Roman" w:hAnsi="Times New Roman"/>
                <w:b w:val="0"/>
                <w:sz w:val="22"/>
              </w:rPr>
              <w:t>Effective date of determination</w:t>
            </w:r>
          </w:p>
        </w:tc>
        <w:tc>
          <w:tcPr>
            <w:tcW w:type="dxa" w:w="5184"/>
            <w:vAlign w:val="center"/>
          </w:tcPr>
          <w:p>
            <w:pPr>
              <w:spacing w:after="0"/>
            </w:pPr>
            <w:r/>
            <w:r>
              <w:rPr>
                <w:rFonts w:ascii="Times New Roman" w:hAnsi="Times New Roman"/>
                <w:b w:val="0"/>
                <w:sz w:val="22"/>
              </w:rPr>
              <w:t>05/23/2026</w:t>
            </w:r>
          </w:p>
        </w:tc>
      </w:tr>
    </w:tbl>
    <w:p>
      <w:pPr>
        <w:spacing w:after="120"/>
      </w:pPr>
    </w:p>
    <w:p>
      <w:pPr>
        <w:spacing w:after="120"/>
      </w:pPr>
      <w:r>
        <w:rPr>
          <w:rFonts w:ascii="Times New Roman" w:hAnsi="Times New Roman"/>
          <w:b/>
          <w:i w:val="0"/>
        </w:rPr>
        <w:t>Appeal Rights</w:t>
      </w:r>
    </w:p>
    <w:p>
      <w:pPr>
        <w:spacing w:after="160"/>
      </w:pPr>
      <w:r>
        <w:rPr>
          <w:rFonts w:ascii="Times New Roman" w:hAnsi="Times New Roman"/>
          <w:b w:val="0"/>
          <w:i w:val="0"/>
        </w:rPr>
        <w:t>You, the member, or the member's authorized representative have the right to appeal this determination.</w:t>
      </w:r>
    </w:p>
    <w:p>
      <w:pPr>
        <w:spacing w:after="160"/>
      </w:pPr>
      <w:r>
        <w:rPr>
          <w:rFonts w:ascii="Times New Roman" w:hAnsi="Times New Roman"/>
          <w:b w:val="0"/>
          <w:i w:val="0"/>
        </w:rPr>
        <w:t xml:space="preserve">An appeal must be filed within </w:t>
      </w:r>
      <w:r>
        <w:rPr>
          <w:rFonts w:ascii="Times New Roman" w:hAnsi="Times New Roman"/>
          <w:b/>
          <w:i w:val="0"/>
        </w:rPr>
        <w:t>30 calendar days</w:t>
      </w:r>
      <w:r>
        <w:rPr>
          <w:rFonts w:ascii="Times New Roman" w:hAnsi="Times New Roman"/>
          <w:b w:val="0"/>
          <w:i w:val="0"/>
        </w:rPr>
        <w:t xml:space="preserve"> of the date of this notice. Based on the date of this notice, the deadline to file is </w:t>
      </w:r>
      <w:r>
        <w:rPr>
          <w:rFonts w:ascii="Times New Roman" w:hAnsi="Times New Roman"/>
          <w:b/>
          <w:i w:val="0"/>
        </w:rPr>
        <w:t>06/22/2026</w:t>
      </w:r>
      <w:r>
        <w:rPr>
          <w:rFonts w:ascii="Times New Roman" w:hAnsi="Times New Roman"/>
          <w:b w:val="0"/>
          <w:i w:val="0"/>
        </w:rPr>
        <w:t>.</w:t>
      </w:r>
    </w:p>
    <w:p>
      <w:pPr>
        <w:spacing w:after="120"/>
      </w:pPr>
      <w:r>
        <w:rPr>
          <w:rFonts w:ascii="Times New Roman" w:hAnsi="Times New Roman"/>
          <w:b w:val="0"/>
          <w:i w:val="0"/>
        </w:rPr>
        <w:t>To file an appeal, submit a written request, together with any clinical documentation supporting medical necessity for the requested level of care, to:</w:t>
      </w:r>
    </w:p>
    <w:p>
      <w:pPr>
        <w:spacing w:after="40"/>
        <w:ind w:left="720"/>
      </w:pPr>
      <w:r>
        <w:rPr>
          <w:rFonts w:ascii="Times New Roman" w:hAnsi="Times New Roman"/>
          <w:b w:val="0"/>
          <w:i w:val="0"/>
        </w:rPr>
        <w:t>Crestline Medicare Advantage HMO</w:t>
      </w:r>
    </w:p>
    <w:p>
      <w:pPr>
        <w:spacing w:after="40"/>
        <w:ind w:left="720"/>
      </w:pPr>
      <w:r>
        <w:rPr>
          <w:rFonts w:ascii="Times New Roman" w:hAnsi="Times New Roman"/>
          <w:b w:val="0"/>
          <w:i w:val="0"/>
        </w:rPr>
        <w:t>Appeals Department</w:t>
      </w:r>
    </w:p>
    <w:p>
      <w:pPr>
        <w:spacing w:after="40"/>
        <w:ind w:left="720"/>
      </w:pPr>
      <w:r>
        <w:rPr>
          <w:rFonts w:ascii="Times New Roman" w:hAnsi="Times New Roman"/>
          <w:b w:val="0"/>
          <w:i w:val="0"/>
        </w:rPr>
        <w:t>P.O. Box 4471</w:t>
      </w:r>
    </w:p>
    <w:p>
      <w:pPr>
        <w:spacing w:after="40"/>
        <w:ind w:left="720"/>
      </w:pPr>
      <w:r>
        <w:rPr>
          <w:rFonts w:ascii="Times New Roman" w:hAnsi="Times New Roman"/>
          <w:b w:val="0"/>
          <w:i w:val="0"/>
        </w:rPr>
        <w:t>Tallahassee, FL 32301</w:t>
      </w:r>
    </w:p>
    <w:p>
      <w:pPr>
        <w:spacing w:after="200"/>
        <w:ind w:left="720"/>
      </w:pPr>
      <w:r>
        <w:rPr>
          <w:rFonts w:ascii="Times New Roman" w:hAnsi="Times New Roman"/>
          <w:b w:val="0"/>
          <w:i w:val="0"/>
        </w:rPr>
        <w:t>Fax: (800) 555-0720</w:t>
      </w:r>
    </w:p>
    <w:p>
      <w:pPr>
        <w:spacing w:after="160"/>
      </w:pPr>
      <w:r>
        <w:rPr>
          <w:rFonts w:ascii="Times New Roman" w:hAnsi="Times New Roman"/>
          <w:b w:val="0"/>
          <w:i w:val="0"/>
        </w:rPr>
        <w:t>A written appeal should include the member name, member ID, case reference number listed above, the specific service being appealed, and the clinical rationale and supporting records. A written appeal should include any clinical documentation you believe supports the medical necessity of the requested service.
</w:t>
      </w:r>
    </w:p>
    <w:p>
      <w:pPr>
        <w:spacing w:after="160"/>
      </w:pPr>
      <w:r>
        <w:rPr>
          <w:rFonts w:ascii="Times New Roman" w:hAnsi="Times New Roman"/>
          <w:b w:val="0"/>
          <w:i w:val="0"/>
        </w:rPr>
        <w:t>Expedited appeal rights are available where the standard timeframe could seriously jeopardize the member's life, health, or ability to regain maximum function. Requests for expedited review should be marked accordingly and may be submitted by fax to the number above.</w:t>
      </w:r>
    </w:p>
    <w:p>
      <w:pPr>
        <w:spacing w:after="160"/>
      </w:pPr>
      <w:r>
        <w:rPr>
          <w:rFonts w:ascii="Times New Roman" w:hAnsi="Times New Roman"/>
          <w:b w:val="0"/>
          <w:i w:val="0"/>
        </w:rPr>
        <w:t>This determination does not preclude coverage of other medically necessary services, including the home health benefit identified above, subject to the member's plan benefits and applicable cost sharing.</w:t>
      </w:r>
    </w:p>
    <w:p>
      <w:pPr>
        <w:spacing w:after="280"/>
      </w:pPr>
      <w:r>
        <w:rPr>
          <w:rFonts w:ascii="Times New Roman" w:hAnsi="Times New Roman"/>
          <w:b w:val="0"/>
          <w:i w:val="0"/>
        </w:rPr>
        <w:t>Questions regarding this determination may be directed to Utilization Management at (800) 555-0719.</w:t>
      </w:r>
    </w:p>
    <w:p>
      <w:pPr>
        <w:spacing w:after="360"/>
      </w:pPr>
      <w:r>
        <w:rPr>
          <w:rFonts w:ascii="Times New Roman" w:hAnsi="Times New Roman"/>
          <w:b w:val="0"/>
          <w:i w:val="0"/>
        </w:rPr>
        <w:t>Sincerely,</w:t>
      </w:r>
    </w:p>
    <w:p>
      <w:pPr>
        <w:spacing w:after="40"/>
      </w:pPr>
      <w:r>
        <w:rPr>
          <w:rFonts w:ascii="Times New Roman" w:hAnsi="Times New Roman"/>
          <w:b w:val="0"/>
          <w:i/>
        </w:rPr>
        <w:t>Ellery Stovall, MD</w:t>
      </w:r>
    </w:p>
    <w:p>
      <w:pPr>
        <w:spacing w:after="40"/>
      </w:pPr>
      <w:r>
        <w:rPr>
          <w:rFonts w:ascii="Times New Roman" w:hAnsi="Times New Roman"/>
          <w:b w:val="0"/>
          <w:i w:val="0"/>
        </w:rPr>
        <w:t>Ellery Stovall, MD</w:t>
      </w:r>
    </w:p>
    <w:p>
      <w:pPr>
        <w:spacing w:after="40"/>
      </w:pPr>
      <w:r>
        <w:rPr>
          <w:rFonts w:ascii="Times New Roman" w:hAnsi="Times New Roman"/>
          <w:b w:val="0"/>
          <w:i w:val="0"/>
        </w:rPr>
        <w:t>Medical Director, Utilization Management</w:t>
      </w:r>
    </w:p>
    <w:p>
      <w:pPr>
        <w:spacing w:after="40"/>
      </w:pPr>
      <w:r>
        <w:rPr>
          <w:rFonts w:ascii="Times New Roman" w:hAnsi="Times New Roman"/>
          <w:b w:val="0"/>
          <w:i w:val="0"/>
        </w:rPr>
        <w:t>Crestline Medicare Advantage HMO</w:t>
      </w:r>
    </w:p>
    <w:p>
      <w:pPr>
        <w:spacing w:after="40"/>
      </w:pPr>
      <w:r>
        <w:rPr>
          <w:rFonts w:ascii="Times New Roman" w:hAnsi="Times New Roman"/>
          <w:b w:val="0"/>
          <w:i w:val="0"/>
        </w:rPr>
        <w:t>NPI: 1409287733</w:t>
      </w:r>
    </w:p>
    <w:p>
      <w:pPr>
        <w:spacing w:after="280"/>
      </w:pPr>
      <w:r>
        <w:rPr>
          <w:rFonts w:ascii="Times New Roman" w:hAnsi="Times New Roman"/>
          <w:b w:val="0"/>
          <w:i w:val="0"/>
        </w:rPr>
        <w:t>(800) 555-0719</w:t>
      </w:r>
    </w:p>
    <w:p>
      <w:pPr>
        <w:pBdr>
          <w:bottom w:val="single" w:sz="6" w:space="1" w:color="000000"/>
        </w:pBdr>
      </w:pPr>
    </w:p>
    <w:p>
      <w:pPr>
        <w:spacing w:after="40"/>
      </w:pPr>
      <w:r>
        <w:rPr>
          <w:rFonts w:ascii="Times New Roman" w:hAnsi="Times New Roman"/>
          <w:b w:val="0"/>
          <w:i w:val="0"/>
        </w:rPr>
        <w:t>cc:  Harbor Crest Regional Medical Center Case Management (Lorna Defreze, RN, CCM)</w:t>
      </w:r>
    </w:p>
    <w:p>
      <w:pPr>
        <w:spacing w:after="40"/>
      </w:pPr>
      <w:r>
        <w:rPr>
          <w:rFonts w:ascii="Times New Roman" w:hAnsi="Times New Roman"/>
          <w:b w:val="0"/>
          <w:i w:val="0"/>
        </w:rPr>
        <w:t xml:space="preserve">       Member File — CMA-UM-2026-447128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