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i w:val="0"/>
          <w:sz w:val="28"/>
        </w:rPr>
        <w:t>Crestline Medicare Advantage HMO</w:t>
      </w:r>
    </w:p>
    <w:p>
      <w:pPr>
        <w:spacing w:after="20" w:before="0"/>
        <w:jc w:val="center"/>
      </w:pPr>
      <w:r>
        <w:rPr>
          <w:rFonts w:ascii="Calibri" w:hAnsi="Calibri"/>
          <w:b w:val="0"/>
          <w:i w:val="0"/>
          <w:sz w:val="20"/>
        </w:rPr>
        <w:t>Utilization Management Department</w:t>
      </w:r>
    </w:p>
    <w:p>
      <w:pPr>
        <w:spacing w:after="20" w:before="0"/>
        <w:jc w:val="center"/>
      </w:pPr>
      <w:r>
        <w:rPr>
          <w:rFonts w:ascii="Calibri" w:hAnsi="Calibri"/>
          <w:b w:val="0"/>
          <w:i w:val="0"/>
          <w:sz w:val="20"/>
        </w:rPr>
        <w:t>1750 Plan Commons Drive, Suite 300</w:t>
      </w:r>
    </w:p>
    <w:p>
      <w:pPr>
        <w:spacing w:after="20" w:before="0"/>
        <w:jc w:val="center"/>
      </w:pPr>
      <w:r>
        <w:rPr>
          <w:rFonts w:ascii="Calibri" w:hAnsi="Calibri"/>
          <w:b w:val="0"/>
          <w:i w:val="0"/>
          <w:sz w:val="20"/>
        </w:rPr>
        <w:t>Tampa, FL 33602</w:t>
      </w:r>
    </w:p>
    <w:p>
      <w:pPr>
        <w:spacing w:after="120" w:before="0"/>
        <w:jc w:val="center"/>
      </w:pPr>
      <w:r>
        <w:rPr>
          <w:rFonts w:ascii="Calibri" w:hAnsi="Calibri"/>
          <w:b w:val="0"/>
          <w:i w:val="0"/>
          <w:sz w:val="20"/>
        </w:rPr>
        <w:t>Tel (800) 555-0719  ·  Fax (800) 555-0720</w:t>
      </w:r>
    </w:p>
    <w:p>
      <w:pPr>
        <w:spacing w:before="0" w:after="160"/>
        <w:pBdr>
          <w:bottom w:val="single" w:sz="8" w:space="1" w:color="000000"/>
        </w:pBdr>
      </w:pPr>
    </w:p>
    <w:p>
      <w:pPr>
        <w:spacing w:after="40" w:before="0"/>
      </w:pPr>
      <w:r>
        <w:rPr>
          <w:rFonts w:ascii="Calibri" w:hAnsi="Calibri"/>
          <w:b/>
          <w:sz w:val="22"/>
        </w:rPr>
        <w:t xml:space="preserve">Date: </w:t>
      </w:r>
      <w:r>
        <w:rPr>
          <w:rFonts w:ascii="Calibri" w:hAnsi="Calibri"/>
          <w:b w:val="0"/>
          <w:sz w:val="22"/>
        </w:rPr>
        <w:t>05/25/2026</w:t>
      </w:r>
    </w:p>
    <w:p>
      <w:pPr>
        <w:spacing w:after="40" w:before="0"/>
      </w:pPr>
      <w:r>
        <w:rPr>
          <w:rFonts w:ascii="Calibri" w:hAnsi="Calibri"/>
          <w:b/>
          <w:sz w:val="22"/>
        </w:rPr>
        <w:t xml:space="preserve">Case Reference: </w:t>
      </w:r>
      <w:r>
        <w:rPr>
          <w:rFonts w:ascii="Calibri" w:hAnsi="Calibri"/>
          <w:b w:val="0"/>
          <w:sz w:val="22"/>
        </w:rPr>
        <w:t>CMA-CR-2026-449016</w:t>
      </w:r>
    </w:p>
    <w:p>
      <w:pPr>
        <w:spacing w:after="200" w:before="0"/>
      </w:pPr>
      <w:r>
        <w:rPr>
          <w:rFonts w:ascii="Calibri" w:hAnsi="Calibri"/>
          <w:b/>
          <w:sz w:val="22"/>
        </w:rPr>
        <w:t xml:space="preserve">Authorization Type: </w:t>
      </w:r>
      <w:r>
        <w:rPr>
          <w:rFonts w:ascii="Calibri" w:hAnsi="Calibri"/>
          <w:b w:val="0"/>
          <w:sz w:val="22"/>
        </w:rPr>
        <w:t>Concurrent Review — Inpatient</w:t>
      </w:r>
    </w:p>
    <w:p>
      <w:pPr>
        <w:spacing w:after="40" w:before="0"/>
      </w:pPr>
      <w:r>
        <w:rPr>
          <w:rFonts w:ascii="Calibri" w:hAnsi="Calibri"/>
          <w:b/>
          <w:i w:val="0"/>
          <w:sz w:val="22"/>
        </w:rPr>
        <w:t>TO:</w:t>
      </w:r>
    </w:p>
    <w:p>
      <w:pPr>
        <w:spacing w:after="20" w:before="0"/>
      </w:pPr>
      <w:r>
        <w:rPr>
          <w:rFonts w:ascii="Calibri" w:hAnsi="Calibri"/>
          <w:b w:val="0"/>
          <w:i w:val="0"/>
          <w:sz w:val="22"/>
        </w:rPr>
        <w:t>Vivienne Karras, MD</w:t>
      </w:r>
    </w:p>
    <w:p>
      <w:pPr>
        <w:spacing w:after="20" w:before="0"/>
      </w:pPr>
      <w:r>
        <w:rPr>
          <w:rFonts w:ascii="Calibri" w:hAnsi="Calibri"/>
          <w:b w:val="0"/>
          <w:i w:val="0"/>
          <w:sz w:val="22"/>
        </w:rPr>
        <w:t>Physician Advisor, Utilization Management</w:t>
      </w:r>
    </w:p>
    <w:p>
      <w:pPr>
        <w:spacing w:after="20" w:before="0"/>
      </w:pPr>
      <w:r>
        <w:rPr>
          <w:rFonts w:ascii="Calibri" w:hAnsi="Calibri"/>
          <w:b w:val="0"/>
          <w:i w:val="0"/>
          <w:sz w:val="22"/>
        </w:rPr>
        <w:t>Harbor Crest Regional Medical Center</w:t>
      </w:r>
    </w:p>
    <w:p>
      <w:pPr>
        <w:spacing w:after="20" w:before="0"/>
      </w:pPr>
      <w:r>
        <w:rPr>
          <w:rFonts w:ascii="Calibri" w:hAnsi="Calibri"/>
          <w:b w:val="0"/>
          <w:i w:val="0"/>
          <w:sz w:val="22"/>
        </w:rPr>
        <w:t>2400 Mariners Bay Boulevard</w:t>
      </w:r>
    </w:p>
    <w:p>
      <w:pPr>
        <w:spacing w:after="20" w:before="0"/>
      </w:pPr>
      <w:r>
        <w:rPr>
          <w:rFonts w:ascii="Calibri" w:hAnsi="Calibri"/>
          <w:b w:val="0"/>
          <w:i w:val="0"/>
          <w:sz w:val="22"/>
        </w:rPr>
        <w:t>Cypress Harbor, FL 33421</w:t>
      </w:r>
    </w:p>
    <w:p>
      <w:pPr>
        <w:spacing w:after="200" w:before="0"/>
      </w:pPr>
      <w:r>
        <w:rPr>
          <w:rFonts w:ascii="Calibri" w:hAnsi="Calibri"/>
          <w:b w:val="0"/>
          <w:i/>
          <w:sz w:val="22"/>
        </w:rPr>
        <w:t>Via Utilization Management portal and facsimile</w:t>
      </w:r>
    </w:p>
    <w:p>
      <w:pPr>
        <w:spacing w:after="40" w:before="0"/>
      </w:pPr>
      <w:r>
        <w:rPr>
          <w:rFonts w:ascii="Calibri" w:hAnsi="Calibri"/>
          <w:b/>
          <w:i w:val="0"/>
          <w:sz w:val="22"/>
        </w:rPr>
        <w:t>FROM:</w:t>
      </w:r>
    </w:p>
    <w:p>
      <w:pPr>
        <w:spacing w:after="20" w:before="0"/>
      </w:pPr>
      <w:r>
        <w:rPr>
          <w:rFonts w:ascii="Calibri" w:hAnsi="Calibri"/>
          <w:b w:val="0"/>
          <w:i w:val="0"/>
          <w:sz w:val="22"/>
        </w:rPr>
        <w:t>Adelina Krempel, RN, BSN</w:t>
      </w:r>
    </w:p>
    <w:p>
      <w:pPr>
        <w:spacing w:after="20" w:before="0"/>
      </w:pPr>
      <w:r>
        <w:rPr>
          <w:rFonts w:ascii="Calibri" w:hAnsi="Calibri"/>
          <w:b w:val="0"/>
          <w:i w:val="0"/>
          <w:sz w:val="22"/>
        </w:rPr>
        <w:t>Concurrent Review Nurse</w:t>
      </w:r>
    </w:p>
    <w:p>
      <w:pPr>
        <w:spacing w:after="20" w:before="0"/>
      </w:pPr>
      <w:r>
        <w:rPr>
          <w:rFonts w:ascii="Calibri" w:hAnsi="Calibri"/>
          <w:b w:val="0"/>
          <w:i w:val="0"/>
          <w:sz w:val="22"/>
        </w:rPr>
        <w:t>Crestline Medicare Advantage HMO — Utilization Management</w:t>
      </w:r>
    </w:p>
    <w:p>
      <w:pPr>
        <w:spacing w:after="20" w:before="0"/>
      </w:pPr>
      <w:r>
        <w:rPr>
          <w:rFonts w:ascii="Calibri" w:hAnsi="Calibri"/>
          <w:b w:val="0"/>
          <w:i w:val="0"/>
          <w:sz w:val="22"/>
        </w:rPr>
        <w:t>Direct: (800) 555-0719 ext. 4127</w:t>
      </w:r>
    </w:p>
    <w:p>
      <w:pPr>
        <w:spacing w:after="200" w:before="0"/>
      </w:pPr>
      <w:r>
        <w:rPr>
          <w:rFonts w:ascii="Calibri" w:hAnsi="Calibri"/>
          <w:b w:val="0"/>
          <w:i w:val="0"/>
          <w:sz w:val="22"/>
        </w:rPr>
        <w:t>adelina.krempel@crestlinema.example</w:t>
      </w:r>
    </w:p>
    <w:p>
      <w:pPr>
        <w:spacing w:after="40" w:before="0"/>
      </w:pPr>
      <w:r>
        <w:rPr>
          <w:rFonts w:ascii="Calibri" w:hAnsi="Calibri"/>
          <w:b/>
          <w:i w:val="0"/>
          <w:sz w:val="22"/>
        </w:rPr>
        <w:t>RE:</w:t>
      </w:r>
    </w:p>
    <w:p>
      <w:pPr>
        <w:spacing w:after="20" w:before="0"/>
      </w:pPr>
      <w:r>
        <w:rPr>
          <w:rFonts w:ascii="Calibri" w:hAnsi="Calibri"/>
          <w:b/>
          <w:sz w:val="22"/>
        </w:rPr>
        <w:t xml:space="preserve">Member: </w:t>
      </w:r>
      <w:r>
        <w:rPr>
          <w:rFonts w:ascii="Calibri" w:hAnsi="Calibri"/>
          <w:b w:val="0"/>
          <w:sz w:val="22"/>
        </w:rPr>
        <w:t>Ondina Vasquell</w:t>
      </w:r>
    </w:p>
    <w:p>
      <w:pPr>
        <w:spacing w:after="20" w:before="0"/>
      </w:pPr>
      <w:r>
        <w:rPr>
          <w:rFonts w:ascii="Calibri" w:hAnsi="Calibri"/>
          <w:b/>
          <w:sz w:val="22"/>
        </w:rPr>
        <w:t xml:space="preserve">Member ID: </w:t>
      </w:r>
      <w:r>
        <w:rPr>
          <w:rFonts w:ascii="Calibri" w:hAnsi="Calibri"/>
          <w:b w:val="0"/>
          <w:sz w:val="22"/>
        </w:rPr>
        <w:t>CMA-7728-4416-02</w:t>
      </w:r>
    </w:p>
    <w:p>
      <w:pPr>
        <w:spacing w:after="20" w:before="0"/>
      </w:pPr>
      <w:r>
        <w:rPr>
          <w:rFonts w:ascii="Calibri" w:hAnsi="Calibri"/>
          <w:b/>
          <w:sz w:val="22"/>
        </w:rPr>
        <w:t xml:space="preserve">Group: </w:t>
      </w:r>
      <w:r>
        <w:rPr>
          <w:rFonts w:ascii="Calibri" w:hAnsi="Calibri"/>
          <w:b w:val="0"/>
          <w:sz w:val="22"/>
        </w:rPr>
        <w:t>FL-MA-2026</w:t>
      </w:r>
    </w:p>
    <w:p>
      <w:pPr>
        <w:spacing w:after="20" w:before="0"/>
      </w:pPr>
      <w:r>
        <w:rPr>
          <w:rFonts w:ascii="Calibri" w:hAnsi="Calibri"/>
          <w:b/>
          <w:sz w:val="22"/>
        </w:rPr>
        <w:t xml:space="preserve">Admitting Facility: </w:t>
      </w:r>
      <w:r>
        <w:rPr>
          <w:rFonts w:ascii="Calibri" w:hAnsi="Calibri"/>
          <w:b w:val="0"/>
          <w:sz w:val="22"/>
        </w:rPr>
        <w:t>Harbor Crest Regional Medical Center</w:t>
      </w:r>
    </w:p>
    <w:p>
      <w:pPr>
        <w:spacing w:after="20" w:before="0"/>
      </w:pPr>
      <w:r>
        <w:rPr>
          <w:rFonts w:ascii="Calibri" w:hAnsi="Calibri"/>
          <w:b/>
          <w:sz w:val="22"/>
        </w:rPr>
        <w:t xml:space="preserve">Admission Date: </w:t>
      </w:r>
      <w:r>
        <w:rPr>
          <w:rFonts w:ascii="Calibri" w:hAnsi="Calibri"/>
          <w:b w:val="0"/>
          <w:sz w:val="22"/>
        </w:rPr>
        <w:t>05/16/2026</w:t>
      </w:r>
    </w:p>
    <w:p>
      <w:pPr>
        <w:spacing w:after="20" w:before="0"/>
      </w:pPr>
      <w:r>
        <w:rPr>
          <w:rFonts w:ascii="Calibri" w:hAnsi="Calibri"/>
          <w:b/>
          <w:sz w:val="22"/>
        </w:rPr>
        <w:t xml:space="preserve">Admitting Diagnosis: </w:t>
      </w:r>
      <w:r>
        <w:rPr>
          <w:rFonts w:ascii="Calibri" w:hAnsi="Calibri"/>
          <w:b w:val="0"/>
          <w:sz w:val="22"/>
        </w:rPr>
        <w:t>Diabetic foot infection, left forefoot</w:t>
      </w:r>
    </w:p>
    <w:p>
      <w:pPr>
        <w:spacing w:after="200" w:before="0"/>
      </w:pPr>
      <w:r>
        <w:rPr>
          <w:rFonts w:ascii="Calibri" w:hAnsi="Calibri"/>
          <w:b/>
          <w:sz w:val="22"/>
        </w:rPr>
        <w:t xml:space="preserve">Current Status: </w:t>
      </w:r>
      <w:r>
        <w:rPr>
          <w:rFonts w:ascii="Calibri" w:hAnsi="Calibri"/>
          <w:b w:val="0"/>
          <w:sz w:val="22"/>
        </w:rPr>
        <w:t>Continued inpatient stay</w:t>
      </w:r>
    </w:p>
    <w:p>
      <w:pPr>
        <w:spacing w:after="160" w:before="0"/>
      </w:pPr>
      <w:r>
        <w:rPr>
          <w:rFonts w:ascii="Calibri" w:hAnsi="Calibri"/>
          <w:b/>
          <w:i w:val="0"/>
          <w:sz w:val="22"/>
        </w:rPr>
        <w:t>SUBJECT: Concurrent Review — Continued Inpatient Stay Medical Necessity Justification Requested</w:t>
      </w:r>
    </w:p>
    <w:p>
      <w:pPr>
        <w:spacing w:before="0" w:after="160"/>
        <w:pBdr>
          <w:bottom w:val="single" w:sz="8" w:space="1" w:color="000000"/>
        </w:pBdr>
      </w:pPr>
    </w:p>
    <w:p>
      <w:pPr>
        <w:spacing w:after="160" w:before="0"/>
      </w:pPr>
      <w:r>
        <w:rPr>
          <w:rFonts w:ascii="Calibri" w:hAnsi="Calibri"/>
          <w:b w:val="0"/>
          <w:i w:val="0"/>
          <w:sz w:val="22"/>
        </w:rPr>
        <w:t>Dr. Karras,</w:t>
      </w:r>
    </w:p>
    <w:p>
      <w:pPr>
        <w:spacing w:after="160" w:before="0"/>
      </w:pPr>
      <w:r>
        <w:rPr>
          <w:rFonts w:ascii="Calibri" w:hAnsi="Calibri"/>
          <w:b w:val="0"/>
          <w:i w:val="0"/>
          <w:sz w:val="22"/>
        </w:rPr>
        <w:t>The above member is in continued inpatient stay at Harbor Crest Regional Medical Center following an admission for diabetic foot infection on 05/16/2026. The plan is conducting concurrent review of the current inpatient level of care.</w:t>
      </w:r>
    </w:p>
    <w:p>
      <w:pPr>
        <w:spacing w:after="120" w:before="0"/>
      </w:pPr>
      <w:r>
        <w:rPr>
          <w:rFonts w:ascii="Calibri" w:hAnsi="Calibri"/>
          <w:b w:val="0"/>
          <w:i w:val="0"/>
          <w:sz w:val="22"/>
        </w:rPr>
        <w:t>Hospital days by service date on record:</w:t>
      </w:r>
    </w:p>
    <w:tbl>
      <w:tblPr>
        <w:tblStyle w:val="TableGrid"/>
        <w:tblW w:type="auto" w:w="0"/>
        <w:tblLayout w:type="fixed"/>
        <w:tblLook w:firstColumn="1" w:firstRow="1" w:lastColumn="0" w:lastRow="0" w:noHBand="0" w:noVBand="1" w:val="04A0"/>
      </w:tblPr>
      <w:tblGrid>
        <w:gridCol w:w="4680"/>
        <w:gridCol w:w="4680"/>
      </w:tblGrid>
      <w:tr>
        <w:tc>
          <w:tcPr>
            <w:tcW w:type="dxa" w:w="2880"/>
          </w:tcPr>
          <w:p>
            <w:r/>
            <w:r>
              <w:rPr>
                <w:rFonts w:ascii="Calibri" w:hAnsi="Calibri"/>
                <w:b/>
                <w:sz w:val="22"/>
              </w:rPr>
              <w:t>Service Date</w:t>
            </w:r>
          </w:p>
        </w:tc>
        <w:tc>
          <w:tcPr>
            <w:tcW w:type="dxa" w:w="3600"/>
          </w:tcPr>
          <w:p>
            <w:r/>
            <w:r>
              <w:rPr>
                <w:rFonts w:ascii="Calibri" w:hAnsi="Calibri"/>
                <w:b/>
                <w:sz w:val="22"/>
              </w:rPr>
              <w:t>Hospital Day</w:t>
            </w:r>
          </w:p>
        </w:tc>
      </w:tr>
      <w:tr>
        <w:tc>
          <w:tcPr>
            <w:tcW w:type="dxa" w:w="2880"/>
          </w:tcPr>
          <w:p>
            <w:r/>
            <w:r>
              <w:rPr>
                <w:rFonts w:ascii="Calibri" w:hAnsi="Calibri"/>
                <w:sz w:val="22"/>
              </w:rPr>
              <w:t>05/16/2026</w:t>
            </w:r>
          </w:p>
        </w:tc>
        <w:tc>
          <w:tcPr>
            <w:tcW w:type="dxa" w:w="3600"/>
          </w:tcPr>
          <w:p>
            <w:r/>
            <w:r>
              <w:rPr>
                <w:rFonts w:ascii="Calibri" w:hAnsi="Calibri"/>
                <w:sz w:val="22"/>
              </w:rPr>
              <w:t>HD1 (admission)</w:t>
            </w:r>
          </w:p>
        </w:tc>
      </w:tr>
      <w:tr>
        <w:tc>
          <w:tcPr>
            <w:tcW w:type="dxa" w:w="2880"/>
          </w:tcPr>
          <w:p>
            <w:r/>
            <w:r>
              <w:rPr>
                <w:rFonts w:ascii="Calibri" w:hAnsi="Calibri"/>
                <w:sz w:val="22"/>
              </w:rPr>
              <w:t>05/17/2026</w:t>
            </w:r>
          </w:p>
        </w:tc>
        <w:tc>
          <w:tcPr>
            <w:tcW w:type="dxa" w:w="3600"/>
          </w:tcPr>
          <w:p>
            <w:r/>
            <w:r>
              <w:rPr>
                <w:rFonts w:ascii="Calibri" w:hAnsi="Calibri"/>
                <w:sz w:val="22"/>
              </w:rPr>
              <w:t>HD2</w:t>
            </w:r>
          </w:p>
        </w:tc>
      </w:tr>
      <w:tr>
        <w:tc>
          <w:tcPr>
            <w:tcW w:type="dxa" w:w="2880"/>
          </w:tcPr>
          <w:p>
            <w:r/>
            <w:r>
              <w:rPr>
                <w:rFonts w:ascii="Calibri" w:hAnsi="Calibri"/>
                <w:sz w:val="22"/>
              </w:rPr>
              <w:t>05/18/2026</w:t>
            </w:r>
          </w:p>
        </w:tc>
        <w:tc>
          <w:tcPr>
            <w:tcW w:type="dxa" w:w="3600"/>
          </w:tcPr>
          <w:p>
            <w:r/>
            <w:r>
              <w:rPr>
                <w:rFonts w:ascii="Calibri" w:hAnsi="Calibri"/>
                <w:sz w:val="22"/>
              </w:rPr>
              <w:t>HD3</w:t>
            </w:r>
          </w:p>
        </w:tc>
      </w:tr>
      <w:tr>
        <w:tc>
          <w:tcPr>
            <w:tcW w:type="dxa" w:w="2880"/>
          </w:tcPr>
          <w:p>
            <w:r/>
            <w:r>
              <w:rPr>
                <w:rFonts w:ascii="Calibri" w:hAnsi="Calibri"/>
                <w:sz w:val="22"/>
              </w:rPr>
              <w:t>05/19/2026</w:t>
            </w:r>
          </w:p>
        </w:tc>
        <w:tc>
          <w:tcPr>
            <w:tcW w:type="dxa" w:w="3600"/>
          </w:tcPr>
          <w:p>
            <w:r/>
            <w:r>
              <w:rPr>
                <w:rFonts w:ascii="Calibri" w:hAnsi="Calibri"/>
                <w:sz w:val="22"/>
              </w:rPr>
              <w:t>HD4</w:t>
            </w:r>
          </w:p>
        </w:tc>
      </w:tr>
      <w:tr>
        <w:tc>
          <w:tcPr>
            <w:tcW w:type="dxa" w:w="2880"/>
          </w:tcPr>
          <w:p>
            <w:r/>
            <w:r>
              <w:rPr>
                <w:rFonts w:ascii="Calibri" w:hAnsi="Calibri"/>
                <w:sz w:val="22"/>
              </w:rPr>
              <w:t>05/20/2026</w:t>
            </w:r>
          </w:p>
        </w:tc>
        <w:tc>
          <w:tcPr>
            <w:tcW w:type="dxa" w:w="3600"/>
          </w:tcPr>
          <w:p>
            <w:r/>
            <w:r>
              <w:rPr>
                <w:rFonts w:ascii="Calibri" w:hAnsi="Calibri"/>
                <w:sz w:val="22"/>
              </w:rPr>
              <w:t>HD5</w:t>
            </w:r>
          </w:p>
        </w:tc>
      </w:tr>
      <w:tr>
        <w:tc>
          <w:tcPr>
            <w:tcW w:type="dxa" w:w="2880"/>
          </w:tcPr>
          <w:p>
            <w:r/>
            <w:r>
              <w:rPr>
                <w:rFonts w:ascii="Calibri" w:hAnsi="Calibri"/>
                <w:sz w:val="22"/>
              </w:rPr>
              <w:t>05/21/2026</w:t>
            </w:r>
          </w:p>
        </w:tc>
        <w:tc>
          <w:tcPr>
            <w:tcW w:type="dxa" w:w="3600"/>
          </w:tcPr>
          <w:p>
            <w:r/>
            <w:r>
              <w:rPr>
                <w:rFonts w:ascii="Calibri" w:hAnsi="Calibri"/>
                <w:sz w:val="22"/>
              </w:rPr>
              <w:t>HD6</w:t>
            </w:r>
          </w:p>
        </w:tc>
      </w:tr>
      <w:tr>
        <w:tc>
          <w:tcPr>
            <w:tcW w:type="dxa" w:w="2880"/>
          </w:tcPr>
          <w:p>
            <w:r/>
            <w:r>
              <w:rPr>
                <w:rFonts w:ascii="Calibri" w:hAnsi="Calibri"/>
                <w:sz w:val="22"/>
              </w:rPr>
              <w:t>05/22/2026</w:t>
            </w:r>
          </w:p>
        </w:tc>
        <w:tc>
          <w:tcPr>
            <w:tcW w:type="dxa" w:w="3600"/>
          </w:tcPr>
          <w:p>
            <w:r/>
            <w:r>
              <w:rPr>
                <w:rFonts w:ascii="Calibri" w:hAnsi="Calibri"/>
                <w:sz w:val="22"/>
              </w:rPr>
              <w:t>HD7</w:t>
            </w:r>
          </w:p>
        </w:tc>
      </w:tr>
      <w:tr>
        <w:tc>
          <w:tcPr>
            <w:tcW w:type="dxa" w:w="2880"/>
          </w:tcPr>
          <w:p>
            <w:r/>
            <w:r>
              <w:rPr>
                <w:rFonts w:ascii="Calibri" w:hAnsi="Calibri"/>
                <w:sz w:val="22"/>
              </w:rPr>
              <w:t>05/23/2026</w:t>
            </w:r>
          </w:p>
        </w:tc>
        <w:tc>
          <w:tcPr>
            <w:tcW w:type="dxa" w:w="3600"/>
          </w:tcPr>
          <w:p>
            <w:r/>
            <w:r>
              <w:rPr>
                <w:rFonts w:ascii="Calibri" w:hAnsi="Calibri"/>
                <w:sz w:val="22"/>
              </w:rPr>
              <w:t>HD8</w:t>
            </w:r>
          </w:p>
        </w:tc>
      </w:tr>
      <w:tr>
        <w:tc>
          <w:tcPr>
            <w:tcW w:type="dxa" w:w="2880"/>
          </w:tcPr>
          <w:p>
            <w:r/>
            <w:r>
              <w:rPr>
                <w:rFonts w:ascii="Calibri" w:hAnsi="Calibri"/>
                <w:sz w:val="22"/>
              </w:rPr>
              <w:t>05/24/2026</w:t>
            </w:r>
          </w:p>
        </w:tc>
        <w:tc>
          <w:tcPr>
            <w:tcW w:type="dxa" w:w="3600"/>
          </w:tcPr>
          <w:p>
            <w:r/>
            <w:r>
              <w:rPr>
                <w:rFonts w:ascii="Calibri" w:hAnsi="Calibri"/>
                <w:sz w:val="22"/>
              </w:rPr>
              <w:t>HD9</w:t>
            </w:r>
          </w:p>
        </w:tc>
      </w:tr>
      <w:tr>
        <w:tc>
          <w:tcPr>
            <w:tcW w:type="dxa" w:w="2880"/>
          </w:tcPr>
          <w:p>
            <w:r/>
            <w:r>
              <w:rPr>
                <w:rFonts w:ascii="Calibri" w:hAnsi="Calibri"/>
                <w:sz w:val="22"/>
              </w:rPr>
              <w:t>05/25/2026</w:t>
            </w:r>
          </w:p>
        </w:tc>
        <w:tc>
          <w:tcPr>
            <w:tcW w:type="dxa" w:w="3600"/>
          </w:tcPr>
          <w:p>
            <w:r/>
            <w:r>
              <w:rPr>
                <w:rFonts w:ascii="Calibri" w:hAnsi="Calibri"/>
                <w:sz w:val="22"/>
              </w:rPr>
              <w:t>HD10</w:t>
            </w:r>
          </w:p>
        </w:tc>
      </w:tr>
    </w:tbl>
    <w:p>
      <w:pPr>
        <w:spacing w:after="120" w:before="0"/>
      </w:pPr>
    </w:p>
    <w:p>
      <w:pPr>
        <w:spacing w:after="160" w:before="0"/>
      </w:pPr>
      <w:r>
        <w:rPr>
          <w:rFonts w:ascii="Calibri" w:hAnsi="Calibri"/>
          <w:b w:val="0"/>
          <w:i w:val="0"/>
          <w:sz w:val="22"/>
        </w:rPr>
        <w:t>The plan requests medical-necessity justification for continued inpatient level of care. Please submit a physician-advisor determination documenting whether continued stay meets InterQual or MCG criteria for acute level of care, including specific clinical and functional findings.</w:t>
      </w:r>
    </w:p>
    <w:p>
      <w:pPr>
        <w:spacing w:after="120" w:before="0"/>
      </w:pPr>
      <w:r>
        <w:rPr>
          <w:rFonts w:ascii="Calibri" w:hAnsi="Calibri"/>
          <w:b w:val="0"/>
          <w:i w:val="0"/>
          <w:sz w:val="22"/>
        </w:rPr>
        <w:t>Particular interest in:</w:t>
      </w:r>
    </w:p>
    <w:p>
      <w:pPr>
        <w:spacing w:after="120"/>
        <w:ind w:left="432"/>
      </w:pPr>
      <w:r>
        <w:rPr>
          <w:rFonts w:ascii="Calibri" w:hAnsi="Calibri"/>
          <w:b/>
          <w:sz w:val="22"/>
        </w:rPr>
        <w:t xml:space="preserve">1. </w:t>
      </w:r>
      <w:r>
        <w:rPr>
          <w:rFonts w:ascii="Calibri" w:hAnsi="Calibri"/>
          <w:b/>
          <w:sz w:val="22"/>
        </w:rPr>
        <w:t>Current infection markers</w:t>
      </w:r>
      <w:r>
        <w:rPr>
          <w:rFonts w:ascii="Calibri" w:hAnsi="Calibri"/>
          <w:sz w:val="22"/>
        </w:rPr>
        <w:t xml:space="preserve"> — most recent temperature, white blood cell count, C-reactive protein, hemodynamic trend, and any signs of ongoing or recurrent sepsis or systemic inflammatory response.</w:t>
      </w:r>
    </w:p>
    <w:p>
      <w:pPr>
        <w:spacing w:after="120"/>
        <w:ind w:left="432"/>
      </w:pPr>
      <w:r>
        <w:rPr>
          <w:rFonts w:ascii="Calibri" w:hAnsi="Calibri"/>
          <w:b/>
          <w:sz w:val="22"/>
        </w:rPr>
        <w:t xml:space="preserve">2. </w:t>
      </w:r>
      <w:r>
        <w:rPr>
          <w:rFonts w:ascii="Calibri" w:hAnsi="Calibri"/>
          <w:b/>
          <w:sz w:val="22"/>
        </w:rPr>
        <w:t>Skilled care requirements</w:t>
      </w:r>
      <w:r>
        <w:rPr>
          <w:rFonts w:ascii="Calibri" w:hAnsi="Calibri"/>
          <w:sz w:val="22"/>
        </w:rPr>
        <w:t xml:space="preserve"> — the nature and frequency of services that can only be delivered at an acute inpatient level of care, including parenteral antimicrobial administration, monitoring requirements, wound care intensity, and any active diagnostic workup that cannot be completed at a lower level.</w:t>
      </w:r>
    </w:p>
    <w:p>
      <w:pPr>
        <w:spacing w:after="120"/>
        <w:ind w:left="432"/>
      </w:pPr>
      <w:r>
        <w:rPr>
          <w:rFonts w:ascii="Calibri" w:hAnsi="Calibri"/>
          <w:b/>
          <w:sz w:val="22"/>
        </w:rPr>
        <w:t xml:space="preserve">3. </w:t>
      </w:r>
      <w:r>
        <w:rPr>
          <w:rFonts w:ascii="Calibri" w:hAnsi="Calibri"/>
          <w:b/>
          <w:sz w:val="22"/>
        </w:rPr>
        <w:t>Functional and disposition barriers</w:t>
      </w:r>
      <w:r>
        <w:rPr>
          <w:rFonts w:ascii="Calibri" w:hAnsi="Calibri"/>
          <w:sz w:val="22"/>
        </w:rPr>
        <w:t xml:space="preserve"> — current mobility, weight-bearing and offloading status, activities-of-daily-living status, teach-back completion, home environment considerations, and any outstanding caregiver, equipment, or therapy items that bear on safe transition of care.</w:t>
      </w:r>
    </w:p>
    <w:p>
      <w:pPr>
        <w:spacing w:after="120"/>
        <w:ind w:left="432"/>
      </w:pPr>
      <w:r>
        <w:rPr>
          <w:rFonts w:ascii="Calibri" w:hAnsi="Calibri"/>
          <w:b/>
          <w:sz w:val="22"/>
        </w:rPr>
        <w:t xml:space="preserve">4. </w:t>
      </w:r>
      <w:r>
        <w:rPr>
          <w:rFonts w:ascii="Calibri" w:hAnsi="Calibri"/>
          <w:b/>
          <w:sz w:val="22"/>
        </w:rPr>
        <w:t>Anticipated discharge date and disposition</w:t>
      </w:r>
      <w:r>
        <w:rPr>
          <w:rFonts w:ascii="Calibri" w:hAnsi="Calibri"/>
          <w:sz w:val="22"/>
        </w:rPr>
        <w:t xml:space="preserve"> — projected discharge date, intended post-acute setting (home with home health, skilled nursing facility, or other), and the criteria that, once met, would support transition to that setting.</w:t>
      </w:r>
    </w:p>
    <w:p>
      <w:pPr>
        <w:spacing w:after="200" w:before="80"/>
      </w:pPr>
      <w:r>
        <w:rPr>
          <w:rFonts w:ascii="Calibri" w:hAnsi="Calibri"/>
          <w:b w:val="0"/>
          <w:i w:val="0"/>
          <w:sz w:val="22"/>
        </w:rPr>
        <w:t>Please reference the specific InterQual or MCG criteria set applied (acute medical / surgical, level-of-care subset, and review point) and identify the criteria element(s) supporting continued acute inpatient placement on this service date.</w:t>
      </w:r>
    </w:p>
    <w:p>
      <w:pPr>
        <w:spacing w:after="160"/>
      </w:pPr>
      <w:r>
        <w:rPr>
          <w:rFonts w:ascii="Calibri" w:hAnsi="Calibri"/>
          <w:b/>
          <w:sz w:val="22"/>
        </w:rPr>
        <w:t>Response requested by 05/27/2026.</w:t>
      </w:r>
      <w:r>
        <w:rPr>
          <w:rFonts w:ascii="Calibri" w:hAnsi="Calibri"/>
          <w:sz w:val="22"/>
        </w:rPr>
        <w:t xml:space="preserve"> Submission may be made by return facsimile to (800) 555-0720, by secure portal upload to the case reference above, or by direct call to the undersigned at (800) 555-0719 ext. 4127. The plan’s medical director (Ellery Stovall, MD) is available for peer-to-peer discussion upon request through this office.</w:t>
      </w:r>
    </w:p>
    <w:p>
      <w:pPr>
        <w:spacing w:after="200" w:before="0"/>
      </w:pPr>
      <w:r>
        <w:rPr>
          <w:rFonts w:ascii="Calibri" w:hAnsi="Calibri"/>
          <w:b w:val="0"/>
          <w:i/>
          <w:sz w:val="22"/>
        </w:rPr>
        <w:t>This communication is a request for clinical information in connection with concurrent utilization review and does not by itself create or modify any authorization. Member rights and applicable notices governing continued inpatient services are addressed under separate cover.</w:t>
      </w:r>
    </w:p>
    <w:p>
      <w:pPr>
        <w:spacing w:after="280" w:before="0"/>
      </w:pPr>
      <w:r>
        <w:rPr>
          <w:rFonts w:ascii="Calibri" w:hAnsi="Calibri"/>
          <w:b w:val="0"/>
          <w:i w:val="0"/>
          <w:sz w:val="22"/>
        </w:rPr>
        <w:t>Thank you for your assistance.</w:t>
      </w:r>
    </w:p>
    <w:p>
      <w:pPr>
        <w:spacing w:after="480" w:before="0"/>
      </w:pPr>
      <w:r>
        <w:rPr>
          <w:rFonts w:ascii="Calibri" w:hAnsi="Calibri"/>
          <w:b w:val="0"/>
          <w:i w:val="0"/>
          <w:sz w:val="22"/>
        </w:rPr>
        <w:t>Respectfully,</w:t>
      </w:r>
    </w:p>
    <w:p>
      <w:pPr>
        <w:spacing w:after="20" w:before="0"/>
      </w:pPr>
      <w:r>
        <w:rPr>
          <w:rFonts w:ascii="Calibri" w:hAnsi="Calibri"/>
          <w:b/>
          <w:i w:val="0"/>
          <w:sz w:val="22"/>
        </w:rPr>
        <w:t>Adelina Krempel, RN, BSN</w:t>
      </w:r>
    </w:p>
    <w:p>
      <w:pPr>
        <w:spacing w:after="20" w:before="0"/>
      </w:pPr>
      <w:r>
        <w:rPr>
          <w:rFonts w:ascii="Calibri" w:hAnsi="Calibri"/>
          <w:b w:val="0"/>
          <w:i w:val="0"/>
          <w:sz w:val="22"/>
        </w:rPr>
        <w:t>Concurrent Review Nurse</w:t>
      </w:r>
    </w:p>
    <w:p>
      <w:pPr>
        <w:spacing w:after="20" w:before="0"/>
      </w:pPr>
      <w:r>
        <w:rPr>
          <w:rFonts w:ascii="Calibri" w:hAnsi="Calibri"/>
          <w:b w:val="0"/>
          <w:i w:val="0"/>
          <w:sz w:val="22"/>
        </w:rPr>
        <w:t>Crestline Medicare Advantage HMO — Utilization Management</w:t>
      </w:r>
    </w:p>
    <w:p>
      <w:pPr>
        <w:spacing w:after="280" w:before="0"/>
      </w:pPr>
      <w:r>
        <w:rPr>
          <w:rFonts w:ascii="Calibri" w:hAnsi="Calibri"/>
          <w:b w:val="0"/>
          <w:i w:val="0"/>
          <w:sz w:val="22"/>
        </w:rPr>
        <w:t>(800) 555-0719 ext. 4127</w:t>
      </w:r>
    </w:p>
    <w:p>
      <w:pPr>
        <w:spacing w:after="40" w:before="0"/>
      </w:pPr>
      <w:r>
        <w:rPr>
          <w:rFonts w:ascii="Calibri" w:hAnsi="Calibri"/>
          <w:b w:val="0"/>
          <w:i w:val="0"/>
          <w:sz w:val="20"/>
        </w:rPr>
        <w:t>cc: Case Management, Harbor Crest Regional Medical Center</w:t>
      </w:r>
    </w:p>
    <w:p>
      <w:pPr>
        <w:spacing w:after="40" w:before="0"/>
      </w:pPr>
      <w:r>
        <w:rPr>
          <w:rFonts w:ascii="Calibri" w:hAnsi="Calibri"/>
          <w:b w:val="0"/>
          <w:i w:val="0"/>
          <w:sz w:val="20"/>
        </w:rPr>
        <w:t>cc: Crestline MA Utilization Management case file CMA-CR-2026-449016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