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sz w:val="28"/>
        </w:rPr>
        <w:t>Harbor Crest Regional Medical Center
</w:t>
      </w:r>
    </w:p>
    <w:p>
      <w:pPr>
        <w:spacing w:before="0" w:after="80"/>
        <w:jc w:val="left"/>
      </w:pPr>
      <w:r>
        <w:rPr>
          <w:rFonts w:ascii="Arial" w:hAnsi="Arial"/>
          <w:b/>
          <w:sz w:val="22"/>
        </w:rPr>
        <w:t>Patient Safety Office — Event Intake Summary</w:t>
      </w:r>
    </w:p>
    <w:p>
      <w:pPr>
        <w:spacing w:before="0" w:after="0"/>
      </w:pPr>
      <w:r>
        <w:rPr>
          <w:rFonts w:ascii="Arial" w:hAnsi="Arial"/>
          <w:sz w:val="18"/>
        </w:rPr>
        <w:t>Harbor Crest Regional Medical Center</w:t>
      </w:r>
    </w:p>
    <w:p>
      <w:pPr>
        <w:spacing w:before="0" w:after="0"/>
      </w:pPr>
      <w:r>
        <w:rPr>
          <w:rFonts w:ascii="Arial" w:hAnsi="Arial"/>
          <w:sz w:val="18"/>
        </w:rPr>
        <w:t>2400 Mariners Bay Boulevard, Cypress Harbor, FL 33421</w:t>
      </w:r>
    </w:p>
    <w:p>
      <w:pPr>
        <w:spacing w:before="0" w:after="80"/>
      </w:pPr>
      <w:r>
        <w:rPr>
          <w:rFonts w:ascii="Arial" w:hAnsi="Arial"/>
          <w:sz w:val="18"/>
        </w:rPr>
        <w:t>Patient Safety Office — Administrative Suite, 3rd Floor</w:t>
      </w:r>
    </w:p>
    <w:p>
      <w:pPr>
        <w:pBdr>
          <w:bottom w:val="single" w:sz="6" w:space="1" w:color="808080"/>
        </w:pBdr>
        <w:spacing w:before="40" w:after="80"/>
      </w:pPr>
    </w:p>
    <w:p>
      <w:pPr>
        <w:spacing w:before="0" w:after="40"/>
      </w:pPr>
      <w:r>
        <w:rPr>
          <w:rFonts w:ascii="Arial" w:hAnsi="Arial"/>
          <w:b/>
          <w:sz w:val="18"/>
        </w:rPr>
        <w:t xml:space="preserve">Intake Date: </w:t>
      </w:r>
      <w:r>
        <w:rPr>
          <w:rFonts w:ascii="Arial" w:hAnsi="Arial"/>
          <w:sz w:val="18"/>
        </w:rPr>
        <w:t>06/11/2026</w:t>
      </w:r>
    </w:p>
    <w:p>
      <w:pPr>
        <w:spacing w:before="0" w:after="40"/>
      </w:pPr>
      <w:r>
        <w:rPr>
          <w:rFonts w:ascii="Arial" w:hAnsi="Arial"/>
          <w:b/>
          <w:sz w:val="18"/>
        </w:rPr>
        <w:t xml:space="preserve">Intake Author: </w:t>
      </w:r>
      <w:r>
        <w:rPr>
          <w:rFonts w:ascii="Arial" w:hAnsi="Arial"/>
          <w:sz w:val="18"/>
        </w:rPr>
        <w:t>Mateo Quiñones, MHA, CPPS — Patient Safety Officer</w:t>
      </w:r>
    </w:p>
    <w:p>
      <w:pPr>
        <w:spacing w:before="0" w:after="40"/>
      </w:pPr>
      <w:r>
        <w:rPr>
          <w:rFonts w:ascii="Arial" w:hAnsi="Arial"/>
          <w:b/>
          <w:sz w:val="18"/>
        </w:rPr>
        <w:t xml:space="preserve">Office Phone: </w:t>
      </w:r>
      <w:r>
        <w:rPr>
          <w:rFonts w:ascii="Arial" w:hAnsi="Arial"/>
          <w:sz w:val="18"/>
        </w:rPr>
        <w:t>(561) 555-0667</w:t>
      </w:r>
    </w:p>
    <w:p>
      <w:pPr>
        <w:spacing w:before="0" w:after="40"/>
      </w:pPr>
      <w:r>
        <w:rPr>
          <w:rFonts w:ascii="Arial" w:hAnsi="Arial"/>
          <w:b/>
          <w:sz w:val="18"/>
        </w:rPr>
        <w:t xml:space="preserve">Intake Reference: </w:t>
      </w:r>
      <w:r>
        <w:rPr>
          <w:rFonts w:ascii="Arial" w:hAnsi="Arial"/>
          <w:sz w:val="18"/>
        </w:rPr>
        <w:t>PSO-2026-INTAKE-0411</w:t>
      </w:r>
    </w:p>
    <w:p>
      <w:pPr>
        <w:spacing w:before="0" w:after="40"/>
      </w:pPr>
      <w:r>
        <w:rPr>
          <w:rFonts w:ascii="Arial" w:hAnsi="Arial"/>
          <w:b/>
          <w:sz w:val="18"/>
        </w:rPr>
        <w:t xml:space="preserve">Routing: </w:t>
      </w:r>
      <w:r>
        <w:rPr>
          <w:rFonts w:ascii="Arial" w:hAnsi="Arial"/>
          <w:sz w:val="18"/>
        </w:rPr>
        <w:t>Patient Safety Committee — Root-Cause Review Queue</w:t>
      </w:r>
    </w:p>
    <w:p>
      <w:pPr>
        <w:pBdr>
          <w:bottom w:val="single" w:sz="6" w:space="1" w:color="808080"/>
        </w:pBdr>
        <w:spacing w:before="40" w:after="80"/>
      </w:pPr>
    </w:p>
    <w:p>
      <w:pPr>
        <w:spacing w:before="160" w:after="40"/>
      </w:pPr>
      <w:r>
        <w:rPr>
          <w:rFonts w:ascii="Arial" w:hAnsi="Arial"/>
          <w:b/>
          <w:sz w:val="20"/>
        </w:rPr>
        <w:t>SUBJECT</w:t>
      </w:r>
    </w:p>
    <w:p>
      <w:pPr>
        <w:spacing w:before="0" w:after="80"/>
      </w:pPr>
      <w:r>
        <w:rPr>
          <w:rFonts w:ascii="Arial" w:hAnsi="Arial"/>
          <w:b/>
          <w:sz w:val="20"/>
        </w:rPr>
        <w:t>Patient Safety Event Intake — MISSED OFFLOADING EVENT — MRN OV-3358104</w:t>
      </w:r>
    </w:p>
    <w:p>
      <w:pPr>
        <w:spacing w:before="160" w:after="40"/>
      </w:pPr>
      <w:r>
        <w:rPr>
          <w:rFonts w:ascii="Arial" w:hAnsi="Arial"/>
          <w:b/>
          <w:sz w:val="20"/>
        </w:rPr>
        <w:t>PATIENT IDENTIFICATION</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68"/>
        <w:gridCol w:w="6624"/>
      </w:tblGrid>
      <w:tr>
        <w:tc>
          <w:tcPr>
            <w:tcW w:type="dxa" w:w="4968"/>
            <w:vAlign w:val="top"/>
            <w:shd w:val="clear" w:color="auto" w:fill="EEEEEE"/>
          </w:tcPr>
          <w:p>
            <w:pPr>
              <w:spacing w:before="0" w:after="0"/>
            </w:pPr>
            <w:r/>
            <w:r>
              <w:rPr>
                <w:rFonts w:ascii="Arial" w:hAnsi="Arial"/>
                <w:b/>
                <w:sz w:val="18"/>
              </w:rPr>
              <w:t>Field</w:t>
            </w:r>
          </w:p>
        </w:tc>
        <w:tc>
          <w:tcPr>
            <w:tcW w:type="dxa" w:w="4968"/>
            <w:vAlign w:val="top"/>
            <w:shd w:val="clear" w:color="auto" w:fill="EEEEEE"/>
          </w:tcPr>
          <w:p>
            <w:pPr>
              <w:spacing w:before="0" w:after="0"/>
            </w:pPr>
            <w:r/>
            <w:r>
              <w:rPr>
                <w:rFonts w:ascii="Arial" w:hAnsi="Arial"/>
                <w:b/>
                <w:sz w:val="18"/>
              </w:rPr>
              <w:t>Entry</w:t>
            </w:r>
          </w:p>
        </w:tc>
      </w:tr>
      <w:tr>
        <w:tc>
          <w:tcPr>
            <w:tcW w:type="dxa" w:w="3168"/>
            <w:vAlign w:val="top"/>
          </w:tcPr>
          <w:p>
            <w:pPr>
              <w:spacing w:before="0" w:after="0"/>
            </w:pPr>
            <w:r/>
            <w:r>
              <w:rPr>
                <w:rFonts w:ascii="Arial" w:hAnsi="Arial"/>
                <w:b/>
                <w:sz w:val="18"/>
              </w:rPr>
              <w:t>Patient</w:t>
            </w:r>
          </w:p>
        </w:tc>
        <w:tc>
          <w:tcPr>
            <w:tcW w:type="dxa" w:w="6624"/>
            <w:vAlign w:val="top"/>
          </w:tcPr>
          <w:p>
            <w:pPr>
              <w:spacing w:before="0" w:after="0"/>
            </w:pPr>
            <w:r/>
            <w:r>
              <w:rPr>
                <w:rFonts w:ascii="Arial" w:hAnsi="Arial"/>
                <w:b w:val="0"/>
                <w:sz w:val="18"/>
              </w:rPr>
              <w:t>Vasquell, Ondina</w:t>
            </w:r>
          </w:p>
        </w:tc>
      </w:tr>
      <w:tr>
        <w:tc>
          <w:tcPr>
            <w:tcW w:type="dxa" w:w="3168"/>
            <w:vAlign w:val="top"/>
          </w:tcPr>
          <w:p>
            <w:pPr>
              <w:spacing w:before="0" w:after="0"/>
            </w:pPr>
            <w:r/>
            <w:r>
              <w:rPr>
                <w:rFonts w:ascii="Arial" w:hAnsi="Arial"/>
                <w:b/>
                <w:sz w:val="18"/>
              </w:rPr>
              <w:t>MRN</w:t>
            </w:r>
          </w:p>
        </w:tc>
        <w:tc>
          <w:tcPr>
            <w:tcW w:type="dxa" w:w="6624"/>
            <w:vAlign w:val="top"/>
          </w:tcPr>
          <w:p>
            <w:pPr>
              <w:spacing w:before="0" w:after="0"/>
            </w:pPr>
            <w:r/>
            <w:r>
              <w:rPr>
                <w:rFonts w:ascii="Arial" w:hAnsi="Arial"/>
                <w:b w:val="0"/>
                <w:sz w:val="18"/>
              </w:rPr>
              <w:t>OV-3358104</w:t>
            </w:r>
          </w:p>
        </w:tc>
      </w:tr>
      <w:tr>
        <w:tc>
          <w:tcPr>
            <w:tcW w:type="dxa" w:w="3168"/>
            <w:vAlign w:val="top"/>
          </w:tcPr>
          <w:p>
            <w:pPr>
              <w:spacing w:before="0" w:after="0"/>
            </w:pPr>
            <w:r/>
            <w:r>
              <w:rPr>
                <w:rFonts w:ascii="Arial" w:hAnsi="Arial"/>
                <w:b/>
                <w:sz w:val="18"/>
              </w:rPr>
              <w:t>FIN (index encounter)</w:t>
            </w:r>
          </w:p>
        </w:tc>
        <w:tc>
          <w:tcPr>
            <w:tcW w:type="dxa" w:w="6624"/>
            <w:vAlign w:val="top"/>
          </w:tcPr>
          <w:p>
            <w:pPr>
              <w:spacing w:before="0" w:after="0"/>
            </w:pPr>
            <w:r/>
            <w:r>
              <w:rPr>
                <w:rFonts w:ascii="Arial" w:hAnsi="Arial"/>
                <w:b w:val="0"/>
                <w:sz w:val="18"/>
              </w:rPr>
              <w:t>FIN-2207733</w:t>
            </w:r>
          </w:p>
        </w:tc>
      </w:tr>
      <w:tr>
        <w:tc>
          <w:tcPr>
            <w:tcW w:type="dxa" w:w="3168"/>
            <w:vAlign w:val="top"/>
          </w:tcPr>
          <w:p>
            <w:pPr>
              <w:spacing w:before="0" w:after="0"/>
            </w:pPr>
            <w:r/>
            <w:r>
              <w:rPr>
                <w:rFonts w:ascii="Arial" w:hAnsi="Arial"/>
                <w:b/>
                <w:sz w:val="18"/>
              </w:rPr>
              <w:t>DOB</w:t>
            </w:r>
          </w:p>
        </w:tc>
        <w:tc>
          <w:tcPr>
            <w:tcW w:type="dxa" w:w="6624"/>
            <w:vAlign w:val="top"/>
          </w:tcPr>
          <w:p>
            <w:pPr>
              <w:spacing w:before="0" w:after="0"/>
            </w:pPr>
            <w:r/>
            <w:r>
              <w:rPr>
                <w:rFonts w:ascii="Arial" w:hAnsi="Arial"/>
                <w:b w:val="0"/>
                <w:sz w:val="18"/>
              </w:rPr>
              <w:t>03/14/1958</w:t>
            </w:r>
          </w:p>
        </w:tc>
      </w:tr>
      <w:tr>
        <w:tc>
          <w:tcPr>
            <w:tcW w:type="dxa" w:w="3168"/>
            <w:vAlign w:val="top"/>
          </w:tcPr>
          <w:p>
            <w:pPr>
              <w:spacing w:before="0" w:after="0"/>
            </w:pPr>
            <w:r/>
            <w:r>
              <w:rPr>
                <w:rFonts w:ascii="Arial" w:hAnsi="Arial"/>
                <w:b/>
                <w:sz w:val="18"/>
              </w:rPr>
              <w:t>Sex</w:t>
            </w:r>
          </w:p>
        </w:tc>
        <w:tc>
          <w:tcPr>
            <w:tcW w:type="dxa" w:w="6624"/>
            <w:vAlign w:val="top"/>
          </w:tcPr>
          <w:p>
            <w:pPr>
              <w:spacing w:before="0" w:after="0"/>
            </w:pPr>
            <w:r/>
            <w:r>
              <w:rPr>
                <w:rFonts w:ascii="Arial" w:hAnsi="Arial"/>
                <w:b w:val="0"/>
                <w:sz w:val="18"/>
              </w:rPr>
              <w:t>Female</w:t>
            </w:r>
          </w:p>
        </w:tc>
      </w:tr>
      <w:tr>
        <w:tc>
          <w:tcPr>
            <w:tcW w:type="dxa" w:w="3168"/>
            <w:vAlign w:val="top"/>
          </w:tcPr>
          <w:p>
            <w:pPr>
              <w:spacing w:before="0" w:after="0"/>
            </w:pPr>
            <w:r/>
            <w:r>
              <w:rPr>
                <w:rFonts w:ascii="Arial" w:hAnsi="Arial"/>
                <w:b/>
                <w:sz w:val="18"/>
              </w:rPr>
              <w:t>Primary language</w:t>
            </w:r>
          </w:p>
        </w:tc>
        <w:tc>
          <w:tcPr>
            <w:tcW w:type="dxa" w:w="6624"/>
            <w:vAlign w:val="top"/>
          </w:tcPr>
          <w:p>
            <w:pPr>
              <w:spacing w:before="0" w:after="0"/>
            </w:pPr>
            <w:r/>
            <w:r>
              <w:rPr>
                <w:rFonts w:ascii="Arial" w:hAnsi="Arial"/>
                <w:b w:val="0"/>
                <w:sz w:val="18"/>
              </w:rPr>
              <w:t>Spanish (limited English proficiency; interpreter on file)</w:t>
            </w:r>
          </w:p>
        </w:tc>
      </w:tr>
      <w:tr>
        <w:tc>
          <w:tcPr>
            <w:tcW w:type="dxa" w:w="3168"/>
            <w:vAlign w:val="top"/>
          </w:tcPr>
          <w:p>
            <w:pPr>
              <w:spacing w:before="0" w:after="0"/>
            </w:pPr>
            <w:r/>
            <w:r>
              <w:rPr>
                <w:rFonts w:ascii="Arial" w:hAnsi="Arial"/>
                <w:b/>
                <w:sz w:val="18"/>
              </w:rPr>
              <w:t>Unit / Room at time of event</w:t>
            </w:r>
          </w:p>
        </w:tc>
        <w:tc>
          <w:tcPr>
            <w:tcW w:type="dxa" w:w="6624"/>
            <w:vAlign w:val="top"/>
          </w:tcPr>
          <w:p>
            <w:pPr>
              <w:spacing w:before="0" w:after="0"/>
            </w:pPr>
            <w:r/>
            <w:r>
              <w:rPr>
                <w:rFonts w:ascii="Arial" w:hAnsi="Arial"/>
                <w:b w:val="0"/>
                <w:sz w:val="18"/>
              </w:rPr>
              <w:t>6 South Medicine, 6S-214</w:t>
            </w:r>
          </w:p>
        </w:tc>
      </w:tr>
      <w:tr>
        <w:tc>
          <w:tcPr>
            <w:tcW w:type="dxa" w:w="3168"/>
            <w:vAlign w:val="top"/>
          </w:tcPr>
          <w:p>
            <w:pPr>
              <w:spacing w:before="0" w:after="0"/>
            </w:pPr>
            <w:r/>
            <w:r>
              <w:rPr>
                <w:rFonts w:ascii="Arial" w:hAnsi="Arial"/>
                <w:b/>
                <w:sz w:val="18"/>
              </w:rPr>
              <w:t>Attending of record</w:t>
            </w:r>
          </w:p>
        </w:tc>
        <w:tc>
          <w:tcPr>
            <w:tcW w:type="dxa" w:w="6624"/>
            <w:vAlign w:val="top"/>
          </w:tcPr>
          <w:p>
            <w:pPr>
              <w:spacing w:before="0" w:after="0"/>
            </w:pPr>
            <w:r/>
            <w:r>
              <w:rPr>
                <w:rFonts w:ascii="Arial" w:hAnsi="Arial"/>
                <w:b w:val="0"/>
                <w:sz w:val="18"/>
              </w:rPr>
              <w:t>Lillian Everet, MD (Hospital Medicine)</w:t>
            </w:r>
          </w:p>
        </w:tc>
      </w:tr>
      <w:tr>
        <w:tc>
          <w:tcPr>
            <w:tcW w:type="dxa" w:w="3168"/>
            <w:vAlign w:val="top"/>
          </w:tcPr>
          <w:p>
            <w:pPr>
              <w:spacing w:before="0" w:after="0"/>
            </w:pPr>
            <w:r/>
            <w:r>
              <w:rPr>
                <w:rFonts w:ascii="Arial" w:hAnsi="Arial"/>
                <w:b/>
                <w:sz w:val="18"/>
              </w:rPr>
              <w:t>Index admission</w:t>
            </w:r>
          </w:p>
        </w:tc>
        <w:tc>
          <w:tcPr>
            <w:tcW w:type="dxa" w:w="6624"/>
            <w:vAlign w:val="top"/>
          </w:tcPr>
          <w:p>
            <w:pPr>
              <w:spacing w:before="0" w:after="0"/>
            </w:pPr>
            <w:r/>
            <w:r>
              <w:rPr>
                <w:rFonts w:ascii="Arial" w:hAnsi="Arial"/>
                <w:b w:val="0"/>
                <w:sz w:val="18"/>
              </w:rPr>
              <w:t>05/16/2026 (HD1) — limb-threatening left diabetic foot infection</w:t>
            </w:r>
          </w:p>
        </w:tc>
      </w:tr>
    </w:tbl>
    <w:p>
      <w:pPr>
        <w:spacing w:before="0" w:after="80"/>
      </w:pPr>
      <w:r>
        <w:rPr>
          <w:rFonts w:ascii="Arial" w:hAnsi="Arial"/>
          <w:sz w:val="18"/>
        </w:rPr>
      </w:r>
    </w:p>
    <w:p>
      <w:pPr>
        <w:spacing w:before="160" w:after="40"/>
      </w:pPr>
      <w:r>
        <w:rPr>
          <w:rFonts w:ascii="Arial" w:hAnsi="Arial"/>
          <w:b/>
          <w:sz w:val="20"/>
        </w:rPr>
        <w:t>EVENT SUMMARY</w:t>
      </w:r>
    </w:p>
    <w:p>
      <w:pPr>
        <w:spacing w:before="0" w:after="40"/>
      </w:pPr>
      <w:r>
        <w:rPr>
          <w:rFonts w:ascii="Arial" w:hAnsi="Arial"/>
          <w:b/>
          <w:sz w:val="18"/>
        </w:rPr>
        <w:t xml:space="preserve">Date of event: </w:t>
      </w:r>
      <w:r>
        <w:rPr>
          <w:rFonts w:ascii="Arial" w:hAnsi="Arial"/>
          <w:sz w:val="18"/>
        </w:rPr>
        <w:t>05/20/2026 (Hospital Day 5)</w:t>
      </w:r>
    </w:p>
    <w:p>
      <w:pPr>
        <w:spacing w:before="0" w:after="40"/>
      </w:pPr>
      <w:r>
        <w:rPr>
          <w:rFonts w:ascii="Arial" w:hAnsi="Arial"/>
          <w:b/>
          <w:sz w:val="18"/>
        </w:rPr>
        <w:t xml:space="preserve">Period of concern: </w:t>
      </w:r>
      <w:r>
        <w:rPr>
          <w:rFonts w:ascii="Arial" w:hAnsi="Arial"/>
          <w:sz w:val="18"/>
        </w:rPr>
        <w:t>HD3 through HD5 (05/18/2026 — 05/20/2026)</w:t>
      </w:r>
    </w:p>
    <w:p>
      <w:pPr>
        <w:spacing w:before="0" w:after="40"/>
      </w:pPr>
      <w:r>
        <w:rPr>
          <w:rFonts w:ascii="Arial" w:hAnsi="Arial"/>
          <w:b/>
          <w:sz w:val="18"/>
        </w:rPr>
        <w:t xml:space="preserve">Location: </w:t>
      </w:r>
      <w:r>
        <w:rPr>
          <w:rFonts w:ascii="Arial" w:hAnsi="Arial"/>
          <w:sz w:val="18"/>
        </w:rPr>
        <w:t>6 South Medicine, 6S-214 and adjoining patient bathroom</w:t>
      </w:r>
    </w:p>
    <w:p>
      <w:pPr>
        <w:spacing w:before="0" w:after="40"/>
      </w:pPr>
      <w:r>
        <w:rPr>
          <w:rFonts w:ascii="Arial" w:hAnsi="Arial"/>
          <w:b/>
          <w:sz w:val="18"/>
        </w:rPr>
        <w:t xml:space="preserve">Reporter: </w:t>
      </w:r>
      <w:r>
        <w:rPr>
          <w:rFonts w:ascii="Arial" w:hAnsi="Arial"/>
          <w:sz w:val="18"/>
        </w:rPr>
        <w:t>Nursing staff, 6 South Medicine (identity withheld per Patient Safety Office anonymization policy; full identifier retained in protected intake record)</w:t>
      </w:r>
    </w:p>
    <w:p>
      <w:pPr>
        <w:spacing w:before="0" w:after="40"/>
      </w:pPr>
      <w:r>
        <w:rPr>
          <w:rFonts w:ascii="Arial" w:hAnsi="Arial"/>
          <w:b/>
          <w:sz w:val="18"/>
        </w:rPr>
        <w:t xml:space="preserve">Reporter contact route: </w:t>
      </w:r>
      <w:r>
        <w:rPr>
          <w:rFonts w:ascii="Arial" w:hAnsi="Arial"/>
          <w:sz w:val="18"/>
        </w:rPr>
        <w:t>Internal safety event report submitted via the electronic occurrence reporting system; intake conversation completed with this officer by telephone on 06/10/2026.</w:t>
      </w:r>
    </w:p>
    <w:p>
      <w:pPr>
        <w:spacing w:before="120" w:after="40"/>
      </w:pPr>
      <w:r>
        <w:rPr>
          <w:rFonts w:ascii="Arial" w:hAnsi="Arial"/>
          <w:b/>
          <w:sz w:val="19"/>
        </w:rPr>
        <w:t>Description as Reported</w:t>
      </w:r>
    </w:p>
    <w:p>
      <w:pPr>
        <w:spacing w:before="0" w:after="80"/>
      </w:pPr>
      <w:r>
        <w:rPr>
          <w:rFonts w:ascii="Arial" w:hAnsi="Arial"/>
          <w:sz w:val="18"/>
        </w:rPr>
        <w:t>Patient observed without an offloading device while ambulating to the bathroom on multiple occasions across HD3–HD5. The observations are documented in the unit nursing record and corroborated by therapy documentation. At the time of the observations the patient was using an interim heel-protect boot pending delivery of a specialized total-contact / offloading boot. Inpatient teaching for offloading and wound protection was delivered in Spanish via interpreter.</w:t>
      </w:r>
    </w:p>
    <w:p>
      <w:pPr>
        <w:spacing w:before="0" w:after="80"/>
      </w:pPr>
      <w:r>
        <w:rPr>
          <w:rFonts w:ascii="Arial" w:hAnsi="Arial"/>
          <w:sz w:val="18"/>
        </w:rPr>
        <w:t>No new wound deterioration has been documented to date. The wound assessment of 05/20/2026 records a plantar left forefoot wound with red granulation base, scant serous exudate, and improving periwound erythema; no new findings of advancement on subsequent shifts through the HD6 snapshot. The event is flagged for review on the basis of the offloading lapse itself.</w:t>
      </w:r>
    </w:p>
    <w:p>
      <w:pPr>
        <w:spacing w:before="160" w:after="40"/>
      </w:pPr>
      <w:r>
        <w:rPr>
          <w:rFonts w:ascii="Arial" w:hAnsi="Arial"/>
          <w:b/>
          <w:sz w:val="20"/>
        </w:rPr>
        <w:t>INITIAL CLASSIFICATION</w:t>
      </w:r>
    </w:p>
    <w:p>
      <w:pPr>
        <w:spacing w:before="0" w:after="80"/>
      </w:pPr>
      <w:r>
        <w:t xml:space="preserve">Initial classification: Near miss — patient safety event with several chart-documented inputs; attribution to be determined by the reviewer.</w:t>
      </w:r>
    </w:p>
    <w:p>
      <w:pPr>
        <w:spacing w:before="0" w:after="80"/>
      </w:pPr>
      <w:r>
        <w:rPr>
          <w:rFonts w:ascii="Arial" w:hAnsi="Arial"/>
          <w:sz w:val="18"/>
        </w:rPr>
        <w:t>The classification is preliminary. The reviewer is asked to confirm or revise classification as part of the structured root-cause review.</w:t>
      </w:r>
    </w:p>
    <w:p>
      <w:pPr>
        <w:spacing w:before="160" w:after="40"/>
      </w:pPr>
      <w:r>
        <w:rPr>
          <w:rFonts w:ascii="Arial" w:hAnsi="Arial"/>
          <w:b/>
          <w:sz w:val="20"/>
        </w:rPr>
        <w:t>REQUEST FOR REVIEW</w:t>
      </w:r>
    </w:p>
    <w:p>
      <w:pPr>
        <w:spacing w:before="0" w:after="40"/>
      </w:pPr>
      <w:r>
        <w:rPr>
          <w:rFonts w:ascii="Arial" w:hAnsi="Arial"/>
          <w:sz w:val="18"/>
        </w:rPr>
        <w:t>Please complete a structured root-cause review identifying contributors and a prevention plan. The reviewer is asked to:</w:t>
      </w:r>
    </w:p>
    <w:p>
      <w:pPr>
        <w:pStyle w:val="ListNumber"/>
        <w:spacing w:before="0" w:after="40"/>
      </w:pPr>
      <w:r>
        <w:t xml:space="preserve">Determine whether the event reflects individual factors, system factors, or both, and document the reasoning.</w:t>
      </w:r>
    </w:p>
    <w:p>
      <w:pPr>
        <w:pStyle w:val="ListNumber"/>
        <w:spacing w:before="0" w:after="40"/>
      </w:pPr>
      <w:r>
        <w:rPr>
          <w:rFonts w:ascii="Arial" w:hAnsi="Arial"/>
          <w:sz w:val="18"/>
        </w:rPr>
        <w:t>Engage the chart directly. Reviewer should consult the index admission record.</w:t>
      </w:r>
    </w:p>
    <w:p>
      <w:pPr>
        <w:pStyle w:val="ListNumber"/>
        <w:spacing w:before="0" w:after="40"/>
      </w:pPr>
      <w:r>
        <w:rPr>
          <w:rFonts w:ascii="Arial" w:hAnsi="Arial"/>
          <w:sz w:val="18"/>
        </w:rPr>
        <w:t>Map each prevention recommendation back to a documented contributor. Avoid generic prevention language not tied to the evidence in this chart.</w:t>
      </w:r>
    </w:p>
    <w:p>
      <w:pPr>
        <w:pStyle w:val="ListNumber"/>
        <w:spacing w:before="0" w:after="40"/>
      </w:pPr>
      <w:r>
        <w:rPr>
          <w:rFonts w:ascii="Arial" w:hAnsi="Arial"/>
          <w:b w:val="0"/>
          <w:sz w:val="18"/>
        </w:rPr>
        <w:t xml:space="preserve">Frame the event in the language of a </w:t>
      </w:r>
      <w:r>
        <w:rPr>
          <w:rFonts w:ascii="Arial" w:hAnsi="Arial"/>
          <w:b/>
          <w:sz w:val="18"/>
        </w:rPr>
        <w:t>patient safety event</w:t>
      </w:r>
      <w:r>
        <w:rPr>
          <w:rFonts w:ascii="Arial" w:hAnsi="Arial"/>
          <w:b w:val="0"/>
          <w:sz w:val="18"/>
        </w:rPr>
        <w:t>, consistent with Patient Safety Office policy PS-04 and the Joint Commission framework for near-miss review.</w:t>
      </w:r>
    </w:p>
    <w:p>
      <w:pPr>
        <w:spacing w:before="0" w:after="80"/>
      </w:pPr>
      <w:r>
        <w:rPr>
          <w:rFonts w:ascii="Arial" w:hAnsi="Arial"/>
          <w:sz w:val="18"/>
        </w:rPr>
        <w:t>This intake does not pre-determine attribution. It enumerates the inputs available in the chart so that the reviewer can make the attribution call from the source documents themselves.</w:t>
      </w:r>
    </w:p>
    <w:p>
      <w:pPr>
        <w:spacing w:before="160" w:after="40"/>
      </w:pPr>
      <w:r>
        <w:rPr>
          <w:rFonts w:ascii="Arial" w:hAnsi="Arial"/>
          <w:b/>
          <w:sz w:val="20"/>
        </w:rPr>
        <w:t>DOCUMENTED INPUTS AVAILABLE FOR THE REVIEWER</w:t>
      </w:r>
    </w:p>
    <w:p>
      <w:pPr>
        <w:spacing w:before="0" w:after="80"/>
      </w:pPr>
      <w:r>
        <w:rPr>
          <w:rFonts w:ascii="Arial" w:hAnsi="Arial"/>
          <w:sz w:val="18"/>
        </w:rPr>
        <w:t>The following chart elements are available in the index admission record and have been pre-flagged for review. They are listed as inputs only — no weighting is applied here.</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87"/>
        <w:gridCol w:w="1987"/>
        <w:gridCol w:w="1987"/>
      </w:tblGrid>
      <w:tr>
        <w:tc>
          <w:tcPr>
            <w:tcW w:type="dxa" w:w="432"/>
            <w:vAlign w:val="top"/>
            <w:shd w:val="clear" w:color="auto" w:fill="EEEEEE"/>
          </w:tcPr>
          <w:p>
            <w:pPr>
              <w:spacing w:before="0" w:after="0"/>
            </w:pPr>
            <w:r/>
            <w:r>
              <w:rPr>
                <w:rFonts w:ascii="Arial" w:hAnsi="Arial"/>
                <w:b/>
                <w:sz w:val="16"/>
              </w:rPr>
              <w:t>#</w:t>
            </w:r>
          </w:p>
        </w:tc>
        <w:tc>
          <w:tcPr>
            <w:tcW w:type="dxa" w:w="2160"/>
            <w:vAlign w:val="top"/>
            <w:shd w:val="clear" w:color="auto" w:fill="EEEEEE"/>
          </w:tcPr>
          <w:p>
            <w:pPr>
              <w:spacing w:before="0" w:after="0"/>
            </w:pPr>
            <w:r/>
            <w:r>
              <w:rPr>
                <w:rFonts w:ascii="Arial" w:hAnsi="Arial"/>
                <w:b/>
                <w:sz w:val="16"/>
              </w:rPr>
              <w:t>Source</w:t>
            </w:r>
          </w:p>
        </w:tc>
        <w:tc>
          <w:tcPr>
            <w:tcW w:type="dxa" w:w="1584"/>
            <w:vAlign w:val="top"/>
            <w:shd w:val="clear" w:color="auto" w:fill="EEEEEE"/>
          </w:tcPr>
          <w:p>
            <w:pPr>
              <w:spacing w:before="0" w:after="0"/>
            </w:pPr>
            <w:r/>
            <w:r>
              <w:rPr>
                <w:rFonts w:ascii="Arial" w:hAnsi="Arial"/>
                <w:b/>
                <w:sz w:val="16"/>
              </w:rPr>
              <w:t>Date</w:t>
            </w:r>
          </w:p>
        </w:tc>
      </w:tr>
      <w:tr>
        <w:tc>
          <w:tcPr>
            <w:tcW w:type="dxa" w:w="432"/>
            <w:vAlign w:val="top"/>
          </w:tcPr>
          <w:p>
            <w:pPr>
              <w:spacing w:before="0" w:after="0"/>
            </w:pPr>
            <w:r/>
            <w:r>
              <w:rPr>
                <w:rFonts w:ascii="Arial" w:hAnsi="Arial"/>
                <w:b w:val="0"/>
                <w:sz w:val="16"/>
              </w:rPr>
              <w:t>1</w:t>
            </w:r>
          </w:p>
        </w:tc>
        <w:tc>
          <w:tcPr>
            <w:tcW w:type="dxa" w:w="2160"/>
            <w:vAlign w:val="top"/>
          </w:tcPr>
          <w:p>
            <w:pPr>
              <w:spacing w:before="0" w:after="0"/>
            </w:pPr>
            <w:r/>
            <w:r>
              <w:rPr>
                <w:rFonts w:ascii="Arial" w:hAnsi="Arial"/>
                <w:b w:val="0"/>
                <w:sz w:val="16"/>
              </w:rPr>
              <w:t>Nursing offloading flowsheet</w:t>
            </w:r>
          </w:p>
        </w:tc>
        <w:tc>
          <w:tcPr>
            <w:tcW w:type="dxa" w:w="1584"/>
            <w:vAlign w:val="top"/>
          </w:tcPr>
          <w:p>
            <w:pPr>
              <w:spacing w:before="0" w:after="0"/>
            </w:pPr>
            <w:r/>
            <w:r>
              <w:rPr>
                <w:rFonts w:ascii="Arial" w:hAnsi="Arial"/>
                <w:b w:val="0"/>
                <w:sz w:val="16"/>
              </w:rPr>
              <w:t>05/18/2026 – 05/21/2026</w:t>
            </w:r>
          </w:p>
        </w:tc>
      </w:tr>
      <w:tr>
        <w:tc>
          <w:tcPr>
            <w:tcW w:type="dxa" w:w="432"/>
            <w:vAlign w:val="top"/>
          </w:tcPr>
          <w:p>
            <w:pPr>
              <w:spacing w:before="0" w:after="0"/>
            </w:pPr>
            <w:r/>
            <w:r>
              <w:rPr>
                <w:rFonts w:ascii="Arial" w:hAnsi="Arial"/>
                <w:b w:val="0"/>
                <w:sz w:val="16"/>
              </w:rPr>
              <w:t>2</w:t>
            </w:r>
          </w:p>
        </w:tc>
        <w:tc>
          <w:tcPr>
            <w:tcW w:type="dxa" w:w="2160"/>
            <w:vAlign w:val="top"/>
          </w:tcPr>
          <w:p>
            <w:pPr>
              <w:spacing w:before="0" w:after="0"/>
            </w:pPr>
            <w:r/>
            <w:r>
              <w:rPr>
                <w:rFonts w:ascii="Arial" w:hAnsi="Arial"/>
                <w:b w:val="0"/>
                <w:sz w:val="16"/>
              </w:rPr>
              <w:t>Occupational therapy evaluation</w:t>
            </w:r>
          </w:p>
        </w:tc>
        <w:tc>
          <w:tcPr>
            <w:tcW w:type="dxa" w:w="1584"/>
            <w:vAlign w:val="top"/>
          </w:tcPr>
          <w:p>
            <w:pPr>
              <w:spacing w:before="0" w:after="0"/>
            </w:pPr>
            <w:r/>
            <w:r>
              <w:rPr>
                <w:rFonts w:ascii="Arial" w:hAnsi="Arial"/>
                <w:b w:val="0"/>
                <w:sz w:val="16"/>
              </w:rPr>
              <w:t>05/20/2026, 15:00</w:t>
            </w:r>
          </w:p>
        </w:tc>
      </w:tr>
      <w:tr>
        <w:tc>
          <w:tcPr>
            <w:tcW w:type="dxa" w:w="432"/>
            <w:vAlign w:val="top"/>
          </w:tcPr>
          <w:p>
            <w:pPr>
              <w:spacing w:before="0" w:after="0"/>
            </w:pPr>
            <w:r/>
            <w:r>
              <w:rPr>
                <w:rFonts w:ascii="Arial" w:hAnsi="Arial"/>
                <w:b w:val="0"/>
                <w:sz w:val="16"/>
              </w:rPr>
              <w:t>3</w:t>
            </w:r>
          </w:p>
        </w:tc>
        <w:tc>
          <w:tcPr>
            <w:tcW w:type="dxa" w:w="2160"/>
            <w:vAlign w:val="top"/>
          </w:tcPr>
          <w:p>
            <w:pPr>
              <w:spacing w:before="0" w:after="0"/>
            </w:pPr>
            <w:r/>
            <w:r>
              <w:rPr>
                <w:rFonts w:ascii="Arial" w:hAnsi="Arial"/>
                <w:b w:val="0"/>
                <w:sz w:val="16"/>
              </w:rPr>
              <w:t>Physical therapy evaluation</w:t>
            </w:r>
          </w:p>
        </w:tc>
        <w:tc>
          <w:tcPr>
            <w:tcW w:type="dxa" w:w="1584"/>
            <w:vAlign w:val="top"/>
          </w:tcPr>
          <w:p>
            <w:pPr>
              <w:spacing w:before="0" w:after="0"/>
            </w:pPr>
            <w:r/>
            <w:r>
              <w:rPr>
                <w:rFonts w:ascii="Arial" w:hAnsi="Arial"/>
                <w:b w:val="0"/>
                <w:sz w:val="16"/>
              </w:rPr>
              <w:t>05/20/2026, 14:05</w:t>
            </w:r>
          </w:p>
        </w:tc>
      </w:tr>
      <w:tr>
        <w:tc>
          <w:tcPr>
            <w:tcW w:type="dxa" w:w="432"/>
            <w:vAlign w:val="top"/>
          </w:tcPr>
          <w:p>
            <w:pPr>
              <w:spacing w:before="0" w:after="0"/>
            </w:pPr>
            <w:r/>
            <w:r>
              <w:rPr>
                <w:rFonts w:ascii="Arial" w:hAnsi="Arial"/>
                <w:b w:val="0"/>
                <w:sz w:val="16"/>
              </w:rPr>
              <w:t>4</w:t>
            </w:r>
          </w:p>
        </w:tc>
        <w:tc>
          <w:tcPr>
            <w:tcW w:type="dxa" w:w="2160"/>
            <w:vAlign w:val="top"/>
          </w:tcPr>
          <w:p>
            <w:pPr>
              <w:spacing w:before="0" w:after="0"/>
            </w:pPr>
            <w:r/>
            <w:r>
              <w:rPr>
                <w:rFonts w:ascii="Arial" w:hAnsi="Arial"/>
                <w:b w:val="0"/>
                <w:sz w:val="16"/>
              </w:rPr>
              <w:t>Wound care consult</w:t>
            </w:r>
          </w:p>
        </w:tc>
        <w:tc>
          <w:tcPr>
            <w:tcW w:type="dxa" w:w="1584"/>
            <w:vAlign w:val="top"/>
          </w:tcPr>
          <w:p>
            <w:pPr>
              <w:spacing w:before="0" w:after="0"/>
            </w:pPr>
            <w:r/>
            <w:r>
              <w:rPr>
                <w:rFonts w:ascii="Arial" w:hAnsi="Arial"/>
                <w:b w:val="0"/>
                <w:sz w:val="16"/>
              </w:rPr>
              <w:t>05/20/2026, 11:05</w:t>
            </w:r>
          </w:p>
        </w:tc>
      </w:tr>
      <w:tr>
        <w:tc>
          <w:tcPr>
            <w:tcW w:type="dxa" w:w="432"/>
            <w:vAlign w:val="top"/>
          </w:tcPr>
          <w:p>
            <w:pPr>
              <w:spacing w:before="0" w:after="0"/>
            </w:pPr>
            <w:r/>
            <w:r>
              <w:rPr>
                <w:rFonts w:ascii="Arial" w:hAnsi="Arial"/>
                <w:b w:val="0"/>
                <w:sz w:val="16"/>
              </w:rPr>
              <w:t>5</w:t>
            </w:r>
          </w:p>
        </w:tc>
        <w:tc>
          <w:tcPr>
            <w:tcW w:type="dxa" w:w="2160"/>
            <w:vAlign w:val="top"/>
          </w:tcPr>
          <w:p>
            <w:pPr>
              <w:spacing w:before="0" w:after="0"/>
            </w:pPr>
            <w:r/>
            <w:r>
              <w:rPr>
                <w:rFonts w:ascii="Arial" w:hAnsi="Arial"/>
                <w:b w:val="0"/>
                <w:sz w:val="16"/>
              </w:rPr>
              <w:t>Case management screen</w:t>
            </w:r>
          </w:p>
        </w:tc>
        <w:tc>
          <w:tcPr>
            <w:tcW w:type="dxa" w:w="1584"/>
            <w:vAlign w:val="top"/>
          </w:tcPr>
          <w:p>
            <w:pPr>
              <w:spacing w:before="0" w:after="0"/>
            </w:pPr>
            <w:r/>
            <w:r>
              <w:rPr>
                <w:rFonts w:ascii="Arial" w:hAnsi="Arial"/>
                <w:b w:val="0"/>
                <w:sz w:val="16"/>
              </w:rPr>
              <w:t>05/20/2026, 16:20</w:t>
            </w:r>
          </w:p>
        </w:tc>
      </w:tr>
      <w:tr>
        <w:tc>
          <w:tcPr>
            <w:tcW w:type="dxa" w:w="432"/>
            <w:vAlign w:val="top"/>
          </w:tcPr>
          <w:p>
            <w:pPr>
              <w:spacing w:before="0" w:after="0"/>
            </w:pPr>
            <w:r/>
            <w:r>
              <w:rPr>
                <w:rFonts w:ascii="Arial" w:hAnsi="Arial"/>
                <w:b w:val="0"/>
                <w:sz w:val="16"/>
              </w:rPr>
              <w:t>6</w:t>
            </w:r>
          </w:p>
        </w:tc>
        <w:tc>
          <w:tcPr>
            <w:tcW w:type="dxa" w:w="2160"/>
            <w:vAlign w:val="top"/>
          </w:tcPr>
          <w:p>
            <w:pPr>
              <w:spacing w:before="0" w:after="0"/>
            </w:pPr>
            <w:r/>
            <w:r>
              <w:rPr>
                <w:rFonts w:ascii="Arial" w:hAnsi="Arial"/>
                <w:b w:val="0"/>
                <w:sz w:val="16"/>
              </w:rPr>
              <w:t>Family communication note</w:t>
            </w:r>
          </w:p>
        </w:tc>
        <w:tc>
          <w:tcPr>
            <w:tcW w:type="dxa" w:w="1584"/>
            <w:vAlign w:val="top"/>
          </w:tcPr>
          <w:p>
            <w:pPr>
              <w:spacing w:before="0" w:after="0"/>
            </w:pPr>
            <w:r/>
            <w:r>
              <w:rPr>
                <w:rFonts w:ascii="Arial" w:hAnsi="Arial"/>
                <w:b w:val="0"/>
                <w:sz w:val="16"/>
              </w:rPr>
              <w:t>05/20/2026, 17:30</w:t>
            </w:r>
          </w:p>
        </w:tc>
      </w:tr>
      <w:tr>
        <w:tc>
          <w:tcPr>
            <w:tcW w:type="dxa" w:w="432"/>
            <w:vAlign w:val="top"/>
          </w:tcPr>
          <w:p>
            <w:pPr>
              <w:spacing w:before="0" w:after="0"/>
            </w:pPr>
            <w:r/>
            <w:r>
              <w:rPr>
                <w:rFonts w:ascii="Arial" w:hAnsi="Arial"/>
                <w:b w:val="0"/>
                <w:sz w:val="16"/>
              </w:rPr>
              <w:t>7</w:t>
            </w:r>
          </w:p>
        </w:tc>
        <w:tc>
          <w:tcPr>
            <w:tcW w:type="dxa" w:w="2160"/>
            <w:vAlign w:val="top"/>
          </w:tcPr>
          <w:p>
            <w:pPr>
              <w:spacing w:before="0" w:after="0"/>
            </w:pPr>
            <w:r/>
            <w:r>
              <w:rPr>
                <w:rFonts w:ascii="Arial" w:hAnsi="Arial"/>
                <w:b w:val="0"/>
                <w:sz w:val="16"/>
              </w:rPr>
              <w:t>Podiatry debridement note</w:t>
            </w:r>
          </w:p>
        </w:tc>
        <w:tc>
          <w:tcPr>
            <w:tcW w:type="dxa" w:w="1584"/>
            <w:vAlign w:val="top"/>
          </w:tcPr>
          <w:p>
            <w:pPr>
              <w:spacing w:before="0" w:after="0"/>
            </w:pPr>
            <w:r/>
            <w:r>
              <w:rPr>
                <w:rFonts w:ascii="Arial" w:hAnsi="Arial"/>
                <w:b w:val="0"/>
                <w:sz w:val="16"/>
              </w:rPr>
              <w:t>05/17/2026, 14:10</w:t>
            </w:r>
          </w:p>
        </w:tc>
      </w:tr>
      <w:tr>
        <w:tc>
          <w:tcPr>
            <w:tcW w:type="dxa" w:w="432"/>
            <w:vAlign w:val="top"/>
          </w:tcPr>
          <w:p>
            <w:pPr>
              <w:spacing w:before="0" w:after="0"/>
            </w:pPr>
            <w:r/>
            <w:r>
              <w:rPr>
                <w:rFonts w:ascii="Arial" w:hAnsi="Arial"/>
                <w:b w:val="0"/>
                <w:sz w:val="16"/>
              </w:rPr>
              <w:t>8</w:t>
            </w:r>
          </w:p>
        </w:tc>
        <w:tc>
          <w:tcPr>
            <w:tcW w:type="dxa" w:w="2160"/>
            <w:vAlign w:val="top"/>
          </w:tcPr>
          <w:p>
            <w:pPr>
              <w:spacing w:before="0" w:after="0"/>
            </w:pPr>
            <w:r/>
            <w:r>
              <w:rPr>
                <w:rFonts w:ascii="Arial" w:hAnsi="Arial"/>
                <w:b w:val="0"/>
                <w:sz w:val="16"/>
              </w:rPr>
              <w:t>Active wound care orders / order set</w:t>
            </w:r>
          </w:p>
        </w:tc>
        <w:tc>
          <w:tcPr>
            <w:tcW w:type="dxa" w:w="1584"/>
            <w:vAlign w:val="top"/>
          </w:tcPr>
          <w:p>
            <w:pPr>
              <w:spacing w:before="0" w:after="0"/>
            </w:pPr>
            <w:r/>
            <w:r>
              <w:rPr>
                <w:rFonts w:ascii="Arial" w:hAnsi="Arial"/>
                <w:b w:val="0"/>
                <w:sz w:val="16"/>
              </w:rPr>
              <w:t>05/17/2026 onward</w:t>
            </w:r>
          </w:p>
        </w:tc>
      </w:tr>
      <w:tr>
        <w:tc>
          <w:tcPr>
            <w:tcW w:type="dxa" w:w="432"/>
            <w:vAlign w:val="top"/>
          </w:tcPr>
          <w:p>
            <w:pPr>
              <w:spacing w:before="0" w:after="0"/>
            </w:pPr>
            <w:r/>
            <w:r>
              <w:rPr>
                <w:rFonts w:ascii="Arial" w:hAnsi="Arial"/>
                <w:b w:val="0"/>
                <w:sz w:val="16"/>
              </w:rPr>
              <w:t>9</w:t>
            </w:r>
          </w:p>
        </w:tc>
        <w:tc>
          <w:tcPr>
            <w:tcW w:type="dxa" w:w="2160"/>
            <w:vAlign w:val="top"/>
          </w:tcPr>
          <w:p>
            <w:pPr>
              <w:spacing w:before="0" w:after="0"/>
            </w:pPr>
            <w:r/>
            <w:r>
              <w:rPr>
                <w:rFonts w:ascii="Arial" w:hAnsi="Arial"/>
                <w:b w:val="0"/>
                <w:sz w:val="16"/>
              </w:rPr>
              <w:t>Hospitalist progress notes</w:t>
            </w:r>
          </w:p>
        </w:tc>
        <w:tc>
          <w:tcPr>
            <w:tcW w:type="dxa" w:w="1584"/>
            <w:vAlign w:val="top"/>
          </w:tcPr>
          <w:p>
            <w:pPr>
              <w:spacing w:before="0" w:after="0"/>
            </w:pPr>
            <w:r/>
            <w:r>
              <w:rPr>
                <w:rFonts w:ascii="Arial" w:hAnsi="Arial"/>
                <w:b w:val="0"/>
                <w:sz w:val="16"/>
              </w:rPr>
              <w:t>05/17/2026 – 05/21/2026</w:t>
            </w:r>
          </w:p>
        </w:tc>
      </w:tr>
      <w:tr>
        <w:tc>
          <w:tcPr>
            <w:tcW w:type="dxa" w:w="432"/>
            <w:vAlign w:val="top"/>
          </w:tcPr>
          <w:p>
            <w:pPr>
              <w:spacing w:before="0" w:after="0"/>
            </w:pPr>
            <w:r/>
            <w:r>
              <w:rPr>
                <w:rFonts w:ascii="Arial" w:hAnsi="Arial"/>
                <w:b w:val="0"/>
                <w:sz w:val="16"/>
              </w:rPr>
              <w:t>10</w:t>
            </w:r>
          </w:p>
        </w:tc>
        <w:tc>
          <w:tcPr>
            <w:tcW w:type="dxa" w:w="2160"/>
            <w:vAlign w:val="top"/>
          </w:tcPr>
          <w:p>
            <w:pPr>
              <w:spacing w:before="0" w:after="0"/>
            </w:pPr>
            <w:r/>
            <w:r>
              <w:rPr>
                <w:rFonts w:ascii="Arial" w:hAnsi="Arial"/>
                <w:b w:val="0"/>
                <w:sz w:val="16"/>
              </w:rPr>
              <w:t>Admission H&amp;P</w:t>
            </w:r>
          </w:p>
        </w:tc>
        <w:tc>
          <w:tcPr>
            <w:tcW w:type="dxa" w:w="1584"/>
            <w:vAlign w:val="top"/>
          </w:tcPr>
          <w:p>
            <w:pPr>
              <w:spacing w:before="0" w:after="0"/>
            </w:pPr>
            <w:r/>
            <w:r>
              <w:rPr>
                <w:rFonts w:ascii="Arial" w:hAnsi="Arial"/>
                <w:b w:val="0"/>
                <w:sz w:val="16"/>
              </w:rPr>
              <w:t>05/16/2026</w:t>
            </w:r>
          </w:p>
        </w:tc>
      </w:tr>
    </w:tbl>
    <w:p>
      <w:pPr>
        <w:spacing w:before="0" w:after="80"/>
      </w:pPr>
      <w:r>
        <w:rPr>
          <w:rFonts w:ascii="Arial" w:hAnsi="Arial"/>
          <w:sz w:val="18"/>
        </w:rPr>
      </w:r>
    </w:p>
    <w:p>
      <w:pPr>
        <w:spacing w:before="160" w:after="40"/>
      </w:pPr>
      <w:r>
        <w:rPr>
          <w:rFonts w:ascii="Arial" w:hAnsi="Arial"/>
          <w:b/>
          <w:sz w:val="20"/>
        </w:rPr>
        <w:t>DOCUMENTED FACTORS RELEVANT TO THE EVENT</w:t>
      </w:r>
    </w:p>
    <w:p>
      <w:pPr>
        <w:spacing w:before="0" w:after="80"/>
      </w:pPr>
      <w:r>
        <w:rPr>
          <w:rFonts w:ascii="Arial" w:hAnsi="Arial"/>
          <w:sz w:val="18"/>
        </w:rPr>
        <w:t>The following chart elements are listed without attribution weighting. The reviewer is asked to identify and characterize each documented factor and to determine the attribution framework from the documented evidence.
</w:t>
      </w:r>
    </w:p>
    <w:p>
      <w:pPr>
        <w:pStyle w:val="ListBullet"/>
        <w:spacing w:before="0" w:after="40"/>
      </w:pPr>
      <w:r>
        <w:t xml:space="preserve">DME status. Device-pending status and device-in-use entries are documented in the chart.</w:t>
      </w:r>
    </w:p>
    <w:p>
      <w:pPr>
        <w:pStyle w:val="ListBullet"/>
        <w:spacing w:before="0" w:after="40"/>
      </w:pPr>
      <w:r>
        <w:t xml:space="preserve">Caregiver availability. Caregiver availability is documented in the chart.</w:t>
      </w:r>
    </w:p>
    <w:p>
      <w:pPr>
        <w:pStyle w:val="ListBullet"/>
        <w:spacing w:before="0" w:after="40"/>
      </w:pPr>
      <w:r>
        <w:t xml:space="preserve">Language and teaching documentation. Teaching language, interpreter use, and teach-back outcomes are documented in the chart.</w:t>
      </w:r>
    </w:p>
    <w:p>
      <w:pPr>
        <w:pStyle w:val="ListBullet"/>
        <w:spacing w:before="0" w:after="40"/>
      </w:pPr>
      <w:r>
        <w:t xml:space="preserve">Home environment. Home environment is documented in the chart.
Patient device-wear behavior. Episodes of device removal by the patient during ambulation are documented in the offloading flowsheet; the reviewer is asked to characterize these observations in the context of the other documented factors.
</w:t>
      </w:r>
    </w:p>
    <w:p>
      <w:pPr>
        <w:spacing w:before="0" w:after="80"/>
      </w:pPr>
      <w:r>
        <w:rPr>
          <w:rFonts w:ascii="Arial" w:hAnsi="Arial"/>
          <w:sz w:val="18"/>
        </w:rPr>
        <w:t>Additional inputs that may inform the reviewer's analysis: the documented diabetic peripheral neuropathy (reduced protective sensation in the affected foot), baseline limited mobility, the patient's status as living alone, and the open disposition decision at the time of the observations. These are listed for completeness; the reviewer is asked to determine whether and how they bear on the attribution analysis and the prevention plan.
</w:t>
      </w:r>
    </w:p>
    <w:p>
      <w:pPr>
        <w:spacing w:before="160" w:after="40"/>
      </w:pPr>
      <w:r>
        <w:rPr>
          <w:rFonts w:ascii="Arial" w:hAnsi="Arial"/>
          <w:b/>
          <w:sz w:val="20"/>
        </w:rPr>
        <w:t>REVIEWER DELIVERABLE</w:t>
      </w:r>
    </w:p>
    <w:p>
      <w:pPr>
        <w:spacing w:before="0" w:after="40"/>
      </w:pPr>
      <w:r>
        <w:rPr>
          <w:rFonts w:ascii="Arial" w:hAnsi="Arial"/>
          <w:sz w:val="18"/>
        </w:rPr>
        <w:t>A structured root-cause review document is requested with the following sections:</w:t>
      </w:r>
    </w:p>
    <w:p>
      <w:pPr>
        <w:pStyle w:val="ListNumber"/>
        <w:spacing w:before="0" w:after="40"/>
      </w:pPr>
      <w:r>
        <w:rPr>
          <w:rFonts w:ascii="Arial" w:hAnsi="Arial"/>
          <w:sz w:val="18"/>
        </w:rPr>
        <w:t>Event summary (in reviewer's voice, drawing from the inputs above).</w:t>
      </w:r>
    </w:p>
    <w:p>
      <w:pPr>
        <w:pStyle w:val="ListNumber"/>
        <w:spacing w:before="0" w:after="40"/>
      </w:pPr>
      <w:r>
        <w:t xml:space="preserve">Contributor analysis, with each contributor mapped to its chart source; the attribution framework is to be determined by the reviewer from the documented evidence.
</w:t>
      </w:r>
    </w:p>
    <w:p>
      <w:pPr>
        <w:pStyle w:val="ListNumber"/>
        <w:spacing w:before="0" w:after="40"/>
      </w:pPr>
      <w:r>
        <w:rPr>
          <w:rFonts w:ascii="Arial" w:hAnsi="Arial"/>
          <w:sz w:val="18"/>
        </w:rPr>
        <w:t>Prevention plan, with each recommendation mapped to a specific documented contributor.</w:t>
      </w:r>
    </w:p>
    <w:p>
      <w:pPr>
        <w:pStyle w:val="ListNumber"/>
        <w:spacing w:before="0" w:after="40"/>
      </w:pPr>
      <w:r>
        <w:rPr>
          <w:rFonts w:ascii="Arial" w:hAnsi="Arial"/>
          <w:sz w:val="18"/>
        </w:rPr>
        <w:t>Classification confirmation or revision (near miss / no harm event / harmful event), with rationale.</w:t>
      </w:r>
    </w:p>
    <w:p>
      <w:pPr>
        <w:pStyle w:val="ListNumber"/>
        <w:spacing w:before="0" w:after="40"/>
      </w:pPr>
      <w:r>
        <w:rPr>
          <w:rFonts w:ascii="Arial" w:hAnsi="Arial"/>
          <w:sz w:val="18"/>
        </w:rPr>
        <w:t>Recommended ownership of each prevention action (department, role, timeframe).</w:t>
      </w:r>
    </w:p>
    <w:p>
      <w:pPr>
        <w:spacing w:before="160" w:after="40"/>
      </w:pPr>
      <w:r>
        <w:rPr>
          <w:rFonts w:ascii="Arial" w:hAnsi="Arial"/>
          <w:b/>
          <w:sz w:val="20"/>
        </w:rPr>
        <w:t>NOTES FOR THE REVIEWER</w:t>
      </w:r>
    </w:p>
    <w:p>
      <w:pPr>
        <w:pStyle w:val="ListBullet"/>
        <w:spacing w:before="0" w:after="40"/>
      </w:pPr>
      <w:r>
        <w:rPr>
          <w:rFonts w:ascii="Arial" w:hAnsi="Arial"/>
          <w:sz w:val="18"/>
        </w:rPr>
        <w:t>The event is being routed as a near miss for the purpose of structured review. No clinical deterioration has been documented to date; the period of concern is offloading-process based and is flagged because multiple therapy, nursing, and operational chart entries from different disciplines were newly documented on the same hospital day (05/20/2026); the reviewer is asked to identify and characterize these entries independently from the source documents.
</w:t>
      </w:r>
    </w:p>
    <w:p>
      <w:pPr>
        <w:pStyle w:val="ListBullet"/>
        <w:spacing w:before="0" w:after="40"/>
      </w:pPr>
      <w:r>
        <w:rPr>
          <w:rFonts w:ascii="Arial" w:hAnsi="Arial"/>
          <w:sz w:val="18"/>
        </w:rPr>
        <w:t>Reviewer should weight evidence per the institutional data hierarchy: signed orders and consult notes over progress-note narrative; treating-team documentation over external-party characterization.</w:t>
      </w:r>
    </w:p>
    <w:p>
      <w:pPr>
        <w:pStyle w:val="ListBullet"/>
        <w:spacing w:before="0" w:after="40"/>
      </w:pPr>
      <w:r>
        <w:rPr>
          <w:rFonts w:ascii="Arial" w:hAnsi="Arial"/>
          <w:sz w:val="18"/>
        </w:rPr>
        <w:t>This intake summary is the primary event-level document for this review. The reviewer is expected to work from this intake plus the index admission chart.
</w:t>
      </w:r>
    </w:p>
    <w:p>
      <w:pPr>
        <w:pBdr>
          <w:bottom w:val="single" w:sz="6" w:space="1" w:color="808080"/>
        </w:pBdr>
        <w:spacing w:before="40" w:after="80"/>
      </w:pPr>
    </w:p>
    <w:p>
      <w:pPr>
        <w:spacing w:before="120" w:after="80"/>
      </w:pPr>
      <w:r>
        <w:rPr>
          <w:rFonts w:ascii="Arial" w:hAnsi="Arial"/>
          <w:b/>
          <w:sz w:val="18"/>
        </w:rPr>
        <w:t>Submitted by:</w:t>
      </w:r>
    </w:p>
    <w:p>
      <w:pPr>
        <w:spacing w:before="0" w:after="0"/>
      </w:pPr>
      <w:r>
        <w:rPr>
          <w:rFonts w:ascii="Arial" w:hAnsi="Arial"/>
          <w:sz w:val="18"/>
        </w:rPr>
        <w:t>Mateo Quiñones, MHA, CPPS</w:t>
      </w:r>
    </w:p>
    <w:p>
      <w:pPr>
        <w:spacing w:before="0" w:after="0"/>
      </w:pPr>
      <w:r>
        <w:rPr>
          <w:rFonts w:ascii="Arial" w:hAnsi="Arial"/>
          <w:sz w:val="18"/>
        </w:rPr>
        <w:t>Patient Safety Officer</w:t>
      </w:r>
    </w:p>
    <w:p>
      <w:pPr>
        <w:spacing w:before="0" w:after="0"/>
      </w:pPr>
      <w:r>
        <w:rPr>
          <w:rFonts w:ascii="Arial" w:hAnsi="Arial"/>
          <w:sz w:val="18"/>
        </w:rPr>
        <w:t>Harbor Crest Patient Safety Office</w:t>
      </w:r>
    </w:p>
    <w:p>
      <w:pPr>
        <w:spacing w:before="0" w:after="0"/>
      </w:pPr>
      <w:r>
        <w:rPr>
          <w:rFonts w:ascii="Arial" w:hAnsi="Arial"/>
          <w:sz w:val="18"/>
        </w:rPr>
        <w:t>(561) 555-0667</w:t>
      </w:r>
    </w:p>
    <w:p>
      <w:pPr>
        <w:spacing w:before="0" w:after="80"/>
      </w:pPr>
      <w:r>
        <w:rPr>
          <w:rFonts w:ascii="Arial" w:hAnsi="Arial"/>
          <w:sz w:val="18"/>
        </w:rPr>
        <w:t>06/11/2026</w:t>
      </w:r>
    </w:p>
    <w:p>
      <w:pPr>
        <w:spacing w:before="0" w:after="40"/>
      </w:pPr>
      <w:r>
        <w:rPr>
          <w:rFonts w:ascii="Arial" w:hAnsi="Arial"/>
          <w:b/>
          <w:sz w:val="18"/>
        </w:rPr>
        <w:t xml:space="preserve">Cc: </w:t>
      </w:r>
      <w:r>
        <w:rPr>
          <w:rFonts w:ascii="Arial" w:hAnsi="Arial"/>
          <w:b w:val="0"/>
          <w:sz w:val="18"/>
        </w:rPr>
        <w:t>Patient Safety Committee; Unit Director, 6 South Medicine; Director, Wound and Ostomy Nursing Services; Director, Rehabilitation Services (PT/OT); Director, Case Management; Director, Language Access Services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