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jc w:val="center"/>
        <w:rPr>
          <w:rFonts w:ascii="Inter" w:cs="Inter" w:eastAsia="Inter" w:hAnsi="Inter"/>
          <w:b w:val="1"/>
          <w:bCs w:val="1"/>
          <w:color w:val="4f46e5"/>
          <w:sz w:val="32"/>
          <w:szCs w:val="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f46e5"/>
          <w:sz w:val="32"/>
          <w:szCs w:val="32"/>
          <w:rtl w:val="0"/>
        </w:rPr>
        <w:t xml:space="preserve">Brainstorm Template </w:t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>
          <w:rFonts w:ascii="Inter" w:cs="Inter" w:eastAsia="Inter" w:hAnsi="Inter"/>
          <w:i w:val="1"/>
          <w:iCs w:val="1"/>
          <w:color w:val="ff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ff0000"/>
          <w:u w:val="single"/>
          <w:rtl w:val="0"/>
        </w:rPr>
        <w:t xml:space="preserve">NOTE</w:t>
      </w:r>
      <w:r w:rsidDel="00000000" w:rsidR="00000000" w:rsidRPr="00000000">
        <w:rPr>
          <w:rFonts w:ascii="Inter" w:cs="Inter" w:eastAsia="Inter" w:hAnsi="Inter"/>
          <w:i w:val="1"/>
          <w:iCs w:val="1"/>
          <w:color w:val="ff0000"/>
          <w:rtl w:val="0"/>
        </w:rPr>
        <w:t xml:space="preserve">: Feel free to slightly modify as you see fit</w:t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>
          <w:rFonts w:ascii="Inter" w:cs="Inter" w:eastAsia="Inter" w:hAnsi="Inter"/>
          <w:i w:val="1"/>
          <w:iCs w:val="1"/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85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5"/>
        <w:gridCol w:w="5580"/>
        <w:gridCol w:w="5220"/>
        <w:tblGridChange w:id="0">
          <w:tblGrid>
            <w:gridCol w:w="2385"/>
            <w:gridCol w:w="5580"/>
            <w:gridCol w:w="5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What to bring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4f46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Inter" w:cs="Inter" w:eastAsia="Inter" w:hAnsi="Inter"/>
                <w:color w:val="4f46e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1. World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Who the patient is and what clinical situation the world represents:</w:t>
            </w:r>
          </w:p>
          <w:p w:rsidR="00000000" w:rsidDel="00000000" w:rsidP="00000000" w:rsidRDefault="00000000" w:rsidRPr="00000000" w14:paraId="00000009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Demographics and comorbidities</w:t>
            </w:r>
          </w:p>
          <w:p w:rsidR="00000000" w:rsidDel="00000000" w:rsidP="00000000" w:rsidRDefault="00000000" w:rsidRPr="00000000" w14:paraId="0000000A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Clinical environment (specialty, inpatient vs. outpatient vs. administrative oversight)</w:t>
            </w:r>
          </w:p>
          <w:p w:rsidR="00000000" w:rsidDel="00000000" w:rsidP="00000000" w:rsidRDefault="00000000" w:rsidRPr="00000000" w14:paraId="0000000B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Encounter type (admission, clinic visit, RCA review, peer review, coding audit, and so on)</w:t>
            </w:r>
          </w:p>
          <w:p w:rsidR="00000000" w:rsidDel="00000000" w:rsidP="00000000" w:rsidRDefault="00000000" w:rsidRPr="00000000" w14:paraId="0000000C">
            <w:pPr>
              <w:spacing w:after="6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Shape of the timeline; what changes over the course of the world</w:t>
            </w:r>
          </w:p>
          <w:p w:rsidR="00000000" w:rsidDel="00000000" w:rsidP="00000000" w:rsidRDefault="00000000" w:rsidRPr="00000000" w14:paraId="0000000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Enough to know the world is medically and contextually coherent.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30" w:lineRule="auto"/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"This is an inpatient hospital medicine world: a [N]-day admission for [presenting problem] in a [age] [sex] with [comorbidities]."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lineRule="auto"/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"This is an outpatient primary care world: a single clinic visit for [chief complaint] in a [age] [sex] with [relevant chronic conditions]."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"This is a medical director world: an RCA review of [event type] involving a [age] [sex] who [outcome]; reviewer has access to chart and incident materials."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Inter" w:cs="Inter" w:eastAsia="Inter" w:hAnsi="Inter"/>
                <w:color w:val="4f46e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2. Major friction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Opposing forces, viewpoints, or stakeholder positions that complicate the scenario:</w:t>
            </w:r>
          </w:p>
          <w:p w:rsidR="00000000" w:rsidDel="00000000" w:rsidP="00000000" w:rsidRDefault="00000000" w:rsidRPr="00000000" w14:paraId="00000013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Two specialists with conflicting recommendations</w:t>
            </w:r>
          </w:p>
          <w:p w:rsidR="00000000" w:rsidDel="00000000" w:rsidP="00000000" w:rsidRDefault="00000000" w:rsidRPr="00000000" w14:paraId="00000014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Family wishes vs. medical recommendation</w:t>
            </w:r>
          </w:p>
          <w:p w:rsidR="00000000" w:rsidDel="00000000" w:rsidP="00000000" w:rsidRDefault="00000000" w:rsidRPr="00000000" w14:paraId="00000015">
            <w:pPr>
              <w:spacing w:after="6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Primary team vs. consultant disagreement</w:t>
            </w:r>
          </w:p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Frictions are about people and perspectives. Traps (next row) are about information.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30" w:lineRule="auto"/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"Cardiology and nephrology disagree on whether to hold the ACE inhibitor."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lineRule="auto"/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"Family wants comfort care; the primary team is still pursuing aggressive workup."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i w:val="1"/>
                <w:iCs w:val="1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"PCP recommends one regimen at clinic; the inpatient team has a different plan at admission."</w:t>
            </w:r>
          </w:p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i w:val="1"/>
                <w:iCs w:val="1"/>
                <w:color w:val="1f23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4f46e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3. Major traps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Nuggets of information or specific incidents that complicate the clinician's job and can lead to incorrect decisions if not contextualized properly. </w:t>
            </w:r>
          </w:p>
          <w:p w:rsidR="00000000" w:rsidDel="00000000" w:rsidP="00000000" w:rsidRDefault="00000000" w:rsidRPr="00000000" w14:paraId="0000001D">
            <w:pPr>
              <w:spacing w:after="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80" w:lineRule="auto"/>
              <w:rPr>
                <w:rFonts w:ascii="Inter" w:cs="Inter" w:eastAsia="Inter" w:hAnsi="Inter"/>
                <w:color w:val="4f46e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Common trap types: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Contradictory EMR information</w:t>
            </w:r>
          </w:p>
          <w:p w:rsidR="00000000" w:rsidDel="00000000" w:rsidP="00000000" w:rsidRDefault="00000000" w:rsidRPr="00000000" w14:paraId="00000020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Buried clinically significant information</w:t>
            </w:r>
          </w:p>
          <w:p w:rsidR="00000000" w:rsidDel="00000000" w:rsidP="00000000" w:rsidRDefault="00000000" w:rsidRPr="00000000" w14:paraId="00000021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Insufficient or missing patient information</w:t>
            </w:r>
          </w:p>
          <w:p w:rsidR="00000000" w:rsidDel="00000000" w:rsidP="00000000" w:rsidRDefault="00000000" w:rsidRPr="00000000" w14:paraId="00000022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Source-of-truth ambiguity</w:t>
            </w:r>
          </w:p>
          <w:p w:rsidR="00000000" w:rsidDel="00000000" w:rsidP="00000000" w:rsidRDefault="00000000" w:rsidRPr="00000000" w14:paraId="00000023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Social determinants of health</w:t>
            </w:r>
          </w:p>
          <w:p w:rsidR="00000000" w:rsidDel="00000000" w:rsidP="00000000" w:rsidRDefault="00000000" w:rsidRPr="00000000" w14:paraId="00000024">
            <w:pPr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Temporal or sequencing complexity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30" w:lineRule="auto"/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"Stale EMR med list contradicts a recently filled pill bottle photo. Source-of-truth ambiguity. Lives in the med rec task only."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lineRule="auto"/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"Aspiration event documented mid-paragraph in a routine nursing note, never escalated. Buried significant information. World-level trap."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"Caregiver burnout limits adherence and follow-up capacity. SDOH trap. World-level, affects every task that touches the discharge plan."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Inter" w:cs="Inter" w:eastAsia="Inter" w:hAnsi="Inter"/>
                <w:color w:val="4f46e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4. Rough task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The clinical workflows the writer is thinking about as task encounters. Each task is independent and lives temporally after the world.</w:t>
            </w:r>
          </w:p>
          <w:p w:rsidR="00000000" w:rsidDel="00000000" w:rsidP="00000000" w:rsidRDefault="00000000" w:rsidRPr="00000000" w14:paraId="0000002A">
            <w:pPr>
              <w:spacing w:after="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For each task: the deliverable type and which world elements, traps, or frictions it would test.</w:t>
            </w:r>
          </w:p>
          <w:p w:rsidR="00000000" w:rsidDel="00000000" w:rsidP="00000000" w:rsidRDefault="00000000" w:rsidRPr="00000000" w14:paraId="0000002B">
            <w:pPr>
              <w:spacing w:after="40" w:before="8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Reference the team's approved workflows tracker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for the full list of validated deliverable types. The categories below are a representative sample to encourage thinking beyond progress notes and discharge medication lists.</w:t>
            </w:r>
          </w:p>
          <w:p w:rsidR="00000000" w:rsidDel="00000000" w:rsidP="00000000" w:rsidRDefault="00000000" w:rsidRPr="00000000" w14:paraId="0000002C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Direct clinical documentation (H&amp;P, progress note, discharge summary, consult, SOAP, op note)</w:t>
            </w:r>
          </w:p>
          <w:p w:rsidR="00000000" w:rsidDel="00000000" w:rsidP="00000000" w:rsidRDefault="00000000" w:rsidRPr="00000000" w14:paraId="0000002D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Medication, coding, &amp; billing (med rec, ICD-10/CPT crosswalk, prior auth, denial appeal)</w:t>
            </w:r>
          </w:p>
          <w:p w:rsidR="00000000" w:rsidDel="00000000" w:rsidP="00000000" w:rsidRDefault="00000000" w:rsidRPr="00000000" w14:paraId="0000002E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Care transitions &amp; coordination (transfer note, post-discharge follow-up, home health plan, hospice/palliative)</w:t>
            </w:r>
          </w:p>
          <w:p w:rsidR="00000000" w:rsidDel="00000000" w:rsidP="00000000" w:rsidRDefault="00000000" w:rsidRPr="00000000" w14:paraId="0000002F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Quality, safety, &amp; oversight (RCA, sentinel event, M&amp;M, peer review, OPPE/FPPE, utilization review)</w:t>
            </w:r>
          </w:p>
          <w:p w:rsidR="00000000" w:rsidDel="00000000" w:rsidP="00000000" w:rsidRDefault="00000000" w:rsidRPr="00000000" w14:paraId="00000030">
            <w:pPr>
              <w:spacing w:after="30" w:lineRule="auto"/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Administrative-clinical hybrid (FMLA, disability, ADA accommodation, return-to-work, workers' comp, SAP)</w:t>
            </w:r>
          </w:p>
          <w:p w:rsidR="00000000" w:rsidDel="00000000" w:rsidP="00000000" w:rsidRDefault="00000000" w:rsidRPr="00000000" w14:paraId="00000031">
            <w:pPr>
              <w:ind w:left="20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•  Specialty evaluation &amp; legal-medical (VA disability, SSDI, IME, pre-op clearance, school medical form)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30" w:lineRule="auto"/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"Task 1 is a discharge medication reconciliation. Draws on the three-way med discrepancy and the buried dose change. Set at hospital day 7, which is the final day of the world."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30" w:lineRule="auto"/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"Task 2 is a pre-operative clearance note. Draws on the cardiology/nephrology friction and the chronic disease profile. Set 2 weeks after the last day of the clinical timeline (discharge date)."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Inter" w:cs="Inter" w:eastAsia="Inter" w:hAnsi="Inter"/>
                <w:color w:val="1f232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1f2328"/>
                <w:rtl w:val="0"/>
              </w:rPr>
              <w:t xml:space="preserve">"Task 3 is the RCA write-up itself (medical director world). Draws on every friction and trap. Set 4 weeks after the index event."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100" w:before="240" w:lineRule="auto"/>
        <w:rPr>
          <w:rFonts w:ascii="Inter" w:cs="Inter" w:eastAsia="Inter" w:hAnsi="Inter"/>
          <w:b w:val="1"/>
          <w:bCs w:val="1"/>
          <w:color w:val="4f46e5"/>
          <w:sz w:val="34"/>
          <w:szCs w:val="34"/>
        </w:rPr>
      </w:pPr>
      <w:bookmarkStart w:colFirst="0" w:colLast="0" w:name="_21u1t68eyk9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100" w:before="240" w:lineRule="auto"/>
        <w:rPr>
          <w:rFonts w:ascii="Inter" w:cs="Inter" w:eastAsia="Inter" w:hAnsi="Inter"/>
          <w:b w:val="1"/>
          <w:bCs w:val="1"/>
          <w:color w:val="4f46e5"/>
          <w:sz w:val="34"/>
          <w:szCs w:val="34"/>
        </w:rPr>
      </w:pPr>
      <w:bookmarkStart w:colFirst="0" w:colLast="0" w:name="_dwm7zp2a0ch8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4f46e5"/>
          <w:sz w:val="34"/>
          <w:szCs w:val="34"/>
          <w:rtl w:val="0"/>
        </w:rPr>
        <w:t xml:space="preserve">What the lead evaluates</w:t>
      </w:r>
    </w:p>
    <w:p w:rsidR="00000000" w:rsidDel="00000000" w:rsidP="00000000" w:rsidRDefault="00000000" w:rsidRPr="00000000" w14:paraId="00000037">
      <w:pPr>
        <w:spacing w:after="60" w:before="60" w:lineRule="auto"/>
        <w:rPr>
          <w:rFonts w:ascii="Inter" w:cs="Inter" w:eastAsia="Inter" w:hAnsi="Inter"/>
          <w:b w:val="1"/>
          <w:bCs w:val="1"/>
          <w:color w:val="4472c4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Walk through the checklist below, organized to mirror the writer's four elements. Send back if any item is a clear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60"/>
        <w:tblGridChange w:id="0">
          <w:tblGrid>
            <w:gridCol w:w="10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8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before="160" w:lineRule="auto"/>
              <w:ind w:left="720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World setup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472c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Patient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and clinical situation are coherent. The patient/scenario could exist; specialty, environment, encounter type, and timeline are clear and internally consistent.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Patient profile fits the encounter. Realistic in the sense that a domain expert has encountered this patient several times in their career.</w:t>
              <w:br w:type="textWrapping"/>
            </w:r>
          </w:p>
          <w:p w:rsidR="00000000" w:rsidDel="00000000" w:rsidP="00000000" w:rsidRDefault="00000000" w:rsidRPr="00000000" w14:paraId="0000003C">
            <w:pPr>
              <w:spacing w:after="60" w:before="160" w:lineRule="auto"/>
              <w:ind w:left="720" w:firstLine="0"/>
              <w:rPr>
                <w:rFonts w:ascii="Inter" w:cs="Inter" w:eastAsia="Inter" w:hAnsi="Inter"/>
                <w:color w:val="4f46e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Major friction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Frictions realistically represent real-world clinical dilemmas. Writer can name the stakeholders involved and what each is advocating for.</w:t>
              <w:br w:type="textWrapping"/>
            </w:r>
          </w:p>
          <w:p w:rsidR="00000000" w:rsidDel="00000000" w:rsidP="00000000" w:rsidRDefault="00000000" w:rsidRPr="00000000" w14:paraId="0000003E">
            <w:pPr>
              <w:spacing w:after="60" w:before="160" w:lineRule="auto"/>
              <w:ind w:left="720" w:firstLine="0"/>
              <w:rPr>
                <w:rFonts w:ascii="Inter" w:cs="Inter" w:eastAsia="Inter" w:hAnsi="Inter"/>
                <w:color w:val="4f46e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Major traps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There are a variety of traps in the world that altogether create enough clinical complexity that can stump a physician under normal circumstances.</w:t>
              <w:br w:type="textWrapping"/>
            </w:r>
          </w:p>
          <w:p w:rsidR="00000000" w:rsidDel="00000000" w:rsidP="00000000" w:rsidRDefault="00000000" w:rsidRPr="00000000" w14:paraId="00000040">
            <w:pPr>
              <w:spacing w:after="60" w:before="160" w:lineRule="auto"/>
              <w:ind w:left="720" w:firstLine="0"/>
              <w:rPr>
                <w:rFonts w:ascii="Inter" w:cs="Inter" w:eastAsia="Inter" w:hAnsi="Inter"/>
                <w:color w:val="4f46e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Rough task ideas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Each task maps to a deliverable type in the team's approved workflows tracker.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Tasks also have their own “traps” that are distinct from the world-level traps. </w:t>
              <w:br w:type="textWrapping"/>
            </w:r>
          </w:p>
          <w:p w:rsidR="00000000" w:rsidDel="00000000" w:rsidP="00000000" w:rsidRDefault="00000000" w:rsidRPr="00000000" w14:paraId="00000043">
            <w:pPr>
              <w:spacing w:after="60" w:before="160" w:lineRule="auto"/>
              <w:ind w:left="720" w:firstLine="0"/>
              <w:rPr>
                <w:rFonts w:ascii="Inter" w:cs="Inter" w:eastAsia="Inter" w:hAnsi="Inter"/>
                <w:color w:val="4f46e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f46e5"/>
                <w:rtl w:val="0"/>
              </w:rPr>
              <w:t xml:space="preserve">Cross-cutting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Writer has answers for potential issues of self-containment that can arise.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 seasoned clinician could solve every task from the intended files alone.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Overall world design is representative of the daily activities of a physician in that domain. 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100" w:before="240" w:lineRule="auto"/>
        <w:rPr>
          <w:rFonts w:ascii="Inter" w:cs="Inter" w:eastAsia="Inter" w:hAnsi="Inter"/>
          <w:b w:val="1"/>
          <w:bCs w:val="1"/>
          <w:color w:val="4472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100" w:before="240" w:lineRule="auto"/>
        <w:rPr>
          <w:rFonts w:ascii="Inter" w:cs="Inter" w:eastAsia="Inter" w:hAnsi="Inter"/>
          <w:b w:val="1"/>
          <w:bCs w:val="1"/>
          <w:color w:val="4f46e5"/>
          <w:sz w:val="34"/>
          <w:szCs w:val="34"/>
        </w:rPr>
      </w:pPr>
      <w:bookmarkStart w:colFirst="0" w:colLast="0" w:name="_ym9ybjqfm9c8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4f46e5"/>
          <w:sz w:val="34"/>
          <w:szCs w:val="34"/>
          <w:rtl w:val="0"/>
        </w:rPr>
        <w:t xml:space="preserve">Decision</w:t>
      </w:r>
    </w:p>
    <w:tbl>
      <w:tblPr>
        <w:tblStyle w:val="Table3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40"/>
        <w:gridCol w:w="6840"/>
        <w:tblGridChange w:id="0">
          <w:tblGrid>
            <w:gridCol w:w="684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70ad47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8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ffffff"/>
                <w:rtl w:val="0"/>
              </w:rPr>
              <w:t xml:space="preserve">Foundation is viable. Writer proceeds to full spec drafting.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8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SEND 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ffffff"/>
                <w:rtl w:val="0"/>
              </w:rPr>
              <w:t xml:space="preserve">At least one viability check is a clear no. Lead notes which items need revisiting. Writer revises and re-presents.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200" w:lineRule="auto"/>
        <w:rPr>
          <w:rFonts w:ascii="Inter" w:cs="Inter" w:eastAsia="Inter" w:hAnsi="Inter"/>
          <w:b w:val="1"/>
          <w:bCs w:val="1"/>
          <w:color w:val="4f46e5"/>
          <w:sz w:val="32"/>
          <w:szCs w:val="32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Sign-off is verbal or in a brief comment. No formal write-up required at this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