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Care Management</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LEVEL-OF-CARE APPEAL</w:t>
            </w:r>
          </w:p>
        </w:tc>
      </w:tr>
    </w:tbl>
    <w:p/>
    <w:p>
      <w:r>
        <w:rPr>
          <w:rFonts w:ascii="Arial" w:hAnsi="Arial"/>
          <w:b/>
          <w:i w:val="0"/>
          <w:color w:val="1F3864"/>
          <w:sz w:val="28"/>
        </w:rPr>
        <w:t>APPEAL OF SKILLED NURSING FACILITY LEVEL-OF-CARE DENIAL</w:t>
      </w:r>
    </w:p>
    <w:p>
      <w:r>
        <w:rPr>
          <w:rFonts w:ascii="Arial" w:hAnsi="Arial"/>
          <w:b w:val="0"/>
          <w:i w:val="0"/>
          <w:color w:val="5E6670"/>
          <w:sz w:val="16"/>
        </w:rPr>
        <w:t>Author: Care Management | Date: 05/24/2026 | RE: Ondina Vasquell | Status: Completed for submission</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05/24/2026</w:t>
      </w:r>
    </w:p>
    <w:p>
      <w:r>
        <w:rPr>
          <w:rFonts w:ascii="Arial" w:hAnsi="Arial"/>
          <w:b/>
          <w:i w:val="0"/>
          <w:color w:val="232830"/>
          <w:sz w:val="18"/>
        </w:rPr>
        <w:t xml:space="preserve">Language: </w:t>
      </w:r>
      <w:r>
        <w:rPr>
          <w:rFonts w:ascii="Arial" w:hAnsi="Arial"/>
          <w:b w:val="0"/>
          <w:i w:val="0"/>
          <w:color w:val="232830"/>
          <w:sz w:val="18"/>
        </w:rPr>
        <w:t>Spanish preferred (interpreter used)</w:t>
      </w:r>
    </w:p>
    <w:p>
      <w:r>
        <w:rPr>
          <w:rFonts w:ascii="Arial" w:hAnsi="Arial"/>
          <w:b w:val="0"/>
          <w:i w:val="0"/>
          <w:color w:val="232830"/>
          <w:sz w:val="19"/>
        </w:rPr>
        <w:t>To Meridian Advantage Health Plan, Utilization Management. This letter appeals the 05/23/2026 denial of skilled nursing facility authorization for Ondina Vasquell. The plan denied skilled placement on the basis that home health would be sufficient. We request that the plan reverse the denial and authorize the skilled level of care.</w:t>
      </w:r>
    </w:p>
    <w:p>
      <w:pPr>
        <w:spacing w:before="180" w:after="60"/>
        <w:pBdr>
          <w:bottom w:val="single" w:sz="6" w:color="C9D4EA" w:space="2"/>
        </w:pBdr>
      </w:pPr>
      <w:r>
        <w:rPr>
          <w:rFonts w:ascii="Arial" w:hAnsi="Arial"/>
          <w:b/>
          <w:i w:val="0"/>
          <w:color w:val="4472C4"/>
          <w:sz w:val="20"/>
        </w:rPr>
        <w:t>CLINICAL SUMMARY</w:t>
      </w:r>
    </w:p>
    <w:p>
      <w:r>
        <w:rPr>
          <w:rFonts w:ascii="Arial" w:hAnsi="Arial"/>
          <w:b w:val="0"/>
          <w:i w:val="0"/>
          <w:color w:val="232830"/>
          <w:sz w:val="19"/>
        </w:rPr>
        <w:t>Mrs. Vasquell was admitted on 05/16/2026 with a limb-threatening left diabetic foot infection over the first to second metatarsal head. She underwent podiatric debridement on 05/17/2026 with deep cultures and has been treated with culture-directed, renally dosed antibiotics. The infection has improved: she is afebrile, the white blood cell count has normalized to 8.9, and the creatinine has improved to 1.6, near her baseline of 1.5. The left forefoot wound is managed with skilled daily dressing changes and strict offloading.</w:t>
      </w:r>
    </w:p>
    <w:p>
      <w:pPr>
        <w:spacing w:before="180" w:after="60"/>
        <w:pBdr>
          <w:bottom w:val="single" w:sz="6" w:color="C9D4EA" w:space="2"/>
        </w:pBdr>
      </w:pPr>
      <w:r>
        <w:rPr>
          <w:rFonts w:ascii="Arial" w:hAnsi="Arial"/>
          <w:b/>
          <w:i w:val="0"/>
          <w:color w:val="4472C4"/>
          <w:sz w:val="20"/>
        </w:rPr>
        <w:t>BASIS FOR APPEAL</w:t>
      </w:r>
    </w:p>
    <w:p>
      <w:pPr>
        <w:pStyle w:val="ListBullet"/>
        <w:spacing w:after="30"/>
      </w:pPr>
      <w:r>
        <w:rPr>
          <w:rFonts w:ascii="Arial" w:hAnsi="Arial"/>
          <w:b w:val="0"/>
          <w:i w:val="0"/>
          <w:color w:val="232830"/>
          <w:sz w:val="19"/>
        </w:rPr>
        <w:t>The transfer-day wound photograph of 05/24/2026 documents 2.0 cm of undermining at the proximal wound margin, tracking proximally, with the probe negative for bone. Undermining of this extent is a skilled wound-care finding: it requires serial probing, packing of the tract, and wound-nurse assessment that intermittent home health visits cannot provide. An undermined diabetic foot wound managed as a routine dressing change risks undrained infection, abscess, and progression of the limb threat.</w:t>
      </w:r>
    </w:p>
    <w:p>
      <w:pPr>
        <w:pStyle w:val="ListBullet"/>
        <w:spacing w:after="30"/>
      </w:pPr>
      <w:r>
        <w:rPr>
          <w:rFonts w:ascii="Arial" w:hAnsi="Arial"/>
          <w:b w:val="0"/>
          <w:i w:val="0"/>
          <w:color w:val="232830"/>
          <w:sz w:val="19"/>
        </w:rPr>
        <w:t>Strict offloading of the left forefoot must be maintained continuously; weight-bearing is heel-only per podiatry, and occupational therapy documented that offloading and dressing-protection teach-back was not achieved, so the patient cannot perform her own skilled wound care.</w:t>
      </w:r>
    </w:p>
    <w:p>
      <w:pPr>
        <w:pStyle w:val="ListBullet"/>
        <w:spacing w:after="30"/>
      </w:pPr>
      <w:r>
        <w:rPr>
          <w:rFonts w:ascii="Arial" w:hAnsi="Arial"/>
          <w:b w:val="0"/>
          <w:i w:val="0"/>
          <w:color w:val="232830"/>
          <w:sz w:val="19"/>
        </w:rPr>
        <w:t>Caregiver support is insufficient for home wound care: the patient lives alone in a second-floor walk-up, and her daughter works night shifts and cannot provide daily dressing changes or supervision.</w:t>
      </w:r>
    </w:p>
    <w:p>
      <w:pPr>
        <w:pStyle w:val="ListBullet"/>
        <w:spacing w:after="30"/>
      </w:pPr>
      <w:r>
        <w:rPr>
          <w:rFonts w:ascii="Arial" w:hAnsi="Arial"/>
          <w:b w:val="0"/>
          <w:i w:val="0"/>
          <w:color w:val="232830"/>
          <w:sz w:val="19"/>
        </w:rPr>
        <w:t>The member remains on intravenous antibiotics requiring skilled administration and renal-dose monitoring, with Infectious Disease yet to finalize duration.</w:t>
      </w:r>
    </w:p>
    <w:p>
      <w:pPr>
        <w:pStyle w:val="ListBullet"/>
        <w:spacing w:after="30"/>
      </w:pPr>
      <w:r>
        <w:rPr>
          <w:rFonts w:ascii="Arial" w:hAnsi="Arial"/>
          <w:b w:val="0"/>
          <w:i w:val="0"/>
          <w:color w:val="232830"/>
          <w:sz w:val="19"/>
        </w:rPr>
        <w:t>These needs require a skilled level of care. Intermittent home health cannot provide the skilled wound packing and assessment, continuous offloading, and intravenous antibiotic management this wound and patient require. We request that the plan reverse the 05/23 denial and authorize skilled nursing facility placement.</w:t>
      </w:r>
    </w:p>
    <w:p>
      <w:pPr>
        <w:spacing w:before="200"/>
        <w:pBdr>
          <w:top w:val="single" w:sz="4" w:color="C9D4EA" w:space="4"/>
        </w:pBdr>
      </w:pPr>
      <w:r>
        <w:rPr>
          <w:rFonts w:ascii="Arial" w:hAnsi="Arial"/>
          <w:b w:val="0"/>
          <w:i/>
          <w:color w:val="5E6670"/>
          <w:sz w:val="18"/>
        </w:rPr>
        <w:t>Care Management, 05/24/2026. Ready for submission.</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LEVEL-OF-CARE APPEAL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LEVEL-OF-CARE APPEAL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LEVEL-OF-CARE APPEAL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