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Care Management</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LEVEL-OF-CARE APPEAL</w:t>
            </w:r>
          </w:p>
        </w:tc>
      </w:tr>
    </w:tbl>
    <w:p/>
    <w:p>
      <w:r>
        <w:rPr>
          <w:rFonts w:ascii="Arial" w:hAnsi="Arial"/>
          <w:b/>
          <w:i w:val="0"/>
          <w:color w:val="1F3864"/>
          <w:sz w:val="28"/>
        </w:rPr>
        <w:t>APPEAL OF SKILLED NURSING FACILITY LEVEL-OF-CARE DENIAL</w:t>
      </w:r>
    </w:p>
    <w:p>
      <w:r>
        <w:rPr>
          <w:rFonts w:ascii="Arial" w:hAnsi="Arial"/>
          <w:b w:val="0"/>
          <w:i w:val="0"/>
          <w:color w:val="5E6670"/>
          <w:sz w:val="16"/>
        </w:rPr>
        <w:t>Author: Care Management | Started by: Tobias Renquist, MD (PGY-2) | Date: 05/24/2026 | RE: Ondina Vasquell | Status: Draft started for completion and submission</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05/24/2026</w:t>
      </w:r>
    </w:p>
    <w:p>
      <w:r>
        <w:rPr>
          <w:rFonts w:ascii="Arial" w:hAnsi="Arial"/>
          <w:b/>
          <w:i w:val="0"/>
          <w:color w:val="232830"/>
          <w:sz w:val="18"/>
        </w:rPr>
        <w:t xml:space="preserve">Language: </w:t>
      </w:r>
      <w:r>
        <w:rPr>
          <w:rFonts w:ascii="Arial" w:hAnsi="Arial"/>
          <w:b w:val="0"/>
          <w:i w:val="0"/>
          <w:color w:val="232830"/>
          <w:sz w:val="18"/>
        </w:rPr>
        <w:t>Spanish preferred (interpreter used)</w:t>
      </w:r>
    </w:p>
    <w:p>
      <w:r>
        <w:rPr>
          <w:rFonts w:ascii="Arial" w:hAnsi="Arial"/>
          <w:b w:val="0"/>
          <w:i w:val="0"/>
          <w:color w:val="232830"/>
          <w:sz w:val="19"/>
        </w:rPr>
        <w:t>To Meridian Advantage Health Plan, Utilization Management. This letter appeals the 05/23/2026 denial of skilled nursing facility authorization for Ondina Vasquell. The plan denied skilled placement on the basis that home health would be sufficient. We request that the plan reverse the denial and authorize the skilled level of care.</w:t>
      </w:r>
    </w:p>
    <w:p>
      <w:pPr>
        <w:spacing w:before="180" w:after="60"/>
        <w:pBdr>
          <w:bottom w:val="single" w:sz="6" w:color="C9D4EA" w:space="2"/>
        </w:pBdr>
      </w:pPr>
      <w:r>
        <w:rPr>
          <w:rFonts w:ascii="Arial" w:hAnsi="Arial"/>
          <w:b/>
          <w:i w:val="0"/>
          <w:color w:val="4472C4"/>
          <w:sz w:val="20"/>
        </w:rPr>
        <w:t>CLINICAL SUMMARY</w:t>
      </w:r>
    </w:p>
    <w:p>
      <w:r>
        <w:rPr>
          <w:rFonts w:ascii="Arial" w:hAnsi="Arial"/>
          <w:b w:val="0"/>
          <w:i w:val="0"/>
          <w:color w:val="232830"/>
          <w:sz w:val="19"/>
        </w:rPr>
        <w:t>Mrs. Vasquell was admitted on 05/16/2026 with a limb-threatening left diabetic foot infection over the first to second metatarsal head. She underwent podiatric debridement on 05/17/2026 with deep cultures and has been treated with culture-directed, renally dosed antibiotics. The infection has improved: she is afebrile, the white blood cell count has normalized to 8.9, and the creatinine has improved to 1.6, near her baseline of 1.5. The left forefoot wound is managed with skilled daily dressing changes and strict offloading.</w:t>
      </w:r>
    </w:p>
    <w:p>
      <w:pPr>
        <w:spacing w:before="180" w:after="60"/>
        <w:pBdr>
          <w:bottom w:val="single" w:sz="6" w:color="C9D4EA" w:space="2"/>
        </w:pBdr>
      </w:pPr>
      <w:r>
        <w:rPr>
          <w:rFonts w:ascii="Arial" w:hAnsi="Arial"/>
          <w:b/>
          <w:i w:val="0"/>
          <w:color w:val="4472C4"/>
          <w:sz w:val="20"/>
        </w:rPr>
        <w:t>BASIS FOR APPEAL</w:t>
      </w:r>
    </w:p>
    <w:p>
      <w:r>
        <w:rPr>
          <w:rFonts w:ascii="Arial" w:hAnsi="Arial"/>
          <w:b w:val="0"/>
          <w:i w:val="0"/>
          <w:color w:val="232830"/>
          <w:sz w:val="19"/>
        </w:rPr>
        <w:t>To be completed.</w:t>
      </w:r>
    </w:p>
    <w:p>
      <w:pPr>
        <w:spacing w:before="200"/>
        <w:pBdr>
          <w:top w:val="single" w:sz="4" w:color="C9D4EA" w:space="4"/>
        </w:pBdr>
      </w:pPr>
      <w:r>
        <w:rPr>
          <w:rFonts w:ascii="Arial" w:hAnsi="Arial"/>
          <w:b w:val="0"/>
          <w:i/>
          <w:color w:val="5E6670"/>
          <w:sz w:val="18"/>
        </w:rPr>
        <w:t>Started by Care Management on 05/24/2026; for completion and submission.</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