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Utilization Review</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05/22/2026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Mara Olarte, RN</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CONCURRENT STAY REVIEW</w:t>
            </w:r>
          </w:p>
        </w:tc>
      </w:tr>
    </w:tbl>
    <w:p/>
    <w:p>
      <w:r>
        <w:rPr>
          <w:rFonts w:ascii="Arial" w:hAnsi="Arial"/>
          <w:b/>
          <w:i w:val="0"/>
          <w:color w:val="1F3864"/>
          <w:sz w:val="28"/>
        </w:rPr>
        <w:t>CONCURRENT STAY REVIEW - CONTINUED-STAY AND DISCHARGE READINESS</w:t>
      </w:r>
    </w:p>
    <w:p>
      <w:r>
        <w:rPr>
          <w:rFonts w:ascii="Arial" w:hAnsi="Arial"/>
          <w:b w:val="0"/>
          <w:i w:val="0"/>
          <w:color w:val="5E6670"/>
          <w:sz w:val="16"/>
        </w:rPr>
        <w:t>Author: Mara Olarte, RN - Utilization Review | Date of Service: 05/22/2026 | Status: Final for payer submission</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05/22/2026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REASON FOR REVIEW</w:t>
      </w:r>
    </w:p>
    <w:p>
      <w:r>
        <w:rPr>
          <w:rFonts w:ascii="Arial" w:hAnsi="Arial"/>
          <w:b w:val="0"/>
          <w:i w:val="0"/>
          <w:color w:val="232830"/>
          <w:sz w:val="19"/>
        </w:rPr>
        <w:t>Concurrent utilization review of continued inpatient stay for a treated limb-threatening left diabetic foot infection. This review supports the payer continued-stay determination and discharge planning.</w:t>
      </w:r>
    </w:p>
    <w:p>
      <w:r>
        <w:rPr>
          <w:rFonts w:ascii="Arial" w:hAnsi="Arial"/>
          <w:b w:val="0"/>
          <w:i w:val="0"/>
          <w:color w:val="232830"/>
          <w:sz w:val="19"/>
        </w:rPr>
        <w:t>Admission 05/16/2026, hospital day 7. Level of care: acute inpatient. Payer: Medicare Advantage (primary), Medicaid (secondary).</w:t>
      </w:r>
    </w:p>
    <w:p>
      <w:pPr>
        <w:spacing w:before="180" w:after="60"/>
        <w:pBdr>
          <w:bottom w:val="single" w:sz="6" w:color="C9D4EA" w:space="2"/>
        </w:pBdr>
      </w:pPr>
      <w:r>
        <w:rPr>
          <w:rFonts w:ascii="Arial" w:hAnsi="Arial"/>
          <w:b/>
          <w:i w:val="0"/>
          <w:color w:val="4472C4"/>
          <w:sz w:val="20"/>
        </w:rPr>
        <w:t>INTERVAL SUMMARY (HD6 TO HD7)</w:t>
      </w:r>
    </w:p>
    <w:p>
      <w:r>
        <w:rPr>
          <w:rFonts w:ascii="Arial" w:hAnsi="Arial"/>
          <w:b w:val="0"/>
          <w:i w:val="0"/>
          <w:color w:val="232830"/>
          <w:sz w:val="19"/>
        </w:rPr>
        <w:t>Continued clinical improvement. Afebrile and hemodynamically stable. WBC normalized at 8.9. Soft-tissue infection improving on culture-directed, renally dosed therapy. Surgical pathology 05/20 excluded osteomyelitis (no bone in the specimen, no definitive features of osteomyelitis). Left forefoot wound granulating with scant drainage. Creatinine 1.6, near baseline 1.5. Patient feeling better and asking to go home.</w:t>
      </w:r>
    </w:p>
    <w:p>
      <w:pPr>
        <w:spacing w:before="180" w:after="60"/>
        <w:pBdr>
          <w:bottom w:val="single" w:sz="6" w:color="C9D4EA" w:space="2"/>
        </w:pBdr>
      </w:pPr>
      <w:r>
        <w:rPr>
          <w:rFonts w:ascii="Arial" w:hAnsi="Arial"/>
          <w:b/>
          <w:i w:val="0"/>
          <w:color w:val="4472C4"/>
          <w:sz w:val="20"/>
        </w:rPr>
        <w:t>CRITERIA AND DISPOSITION</w:t>
      </w:r>
    </w:p>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5184"/>
        <w:gridCol w:w="5184"/>
      </w:tblGrid>
      <w:tr>
        <w:tc>
          <w:tcPr>
            <w:tcW w:type="dxa" w:w="5184"/>
            <w:shd w:val="clear" w:fill="4472C4"/>
          </w:tcPr>
          <w:p>
            <w:r>
              <w:rPr>
                <w:rFonts w:ascii="Arial" w:hAnsi="Arial"/>
                <w:b/>
                <w:i w:val="0"/>
                <w:color w:val="FFFFFF"/>
                <w:sz w:val="16"/>
              </w:rPr>
              <w:t>Item</w:t>
            </w:r>
          </w:p>
        </w:tc>
        <w:tc>
          <w:tcPr>
            <w:tcW w:type="dxa" w:w="5184"/>
            <w:shd w:val="clear" w:fill="4472C4"/>
          </w:tcPr>
          <w:p>
            <w:r>
              <w:rPr>
                <w:rFonts w:ascii="Arial" w:hAnsi="Arial"/>
                <w:b/>
                <w:i w:val="0"/>
                <w:color w:val="FFFFFF"/>
                <w:sz w:val="16"/>
              </w:rPr>
              <w:t>Status</w:t>
            </w:r>
          </w:p>
        </w:tc>
      </w:tr>
      <w:tr>
        <w:tc>
          <w:tcPr>
            <w:tcW w:type="dxa" w:w="5184"/>
          </w:tcPr>
          <w:p>
            <w:r>
              <w:rPr>
                <w:rFonts w:ascii="Arial" w:hAnsi="Arial"/>
                <w:b w:val="0"/>
                <w:i w:val="0"/>
                <w:color w:val="232830"/>
                <w:sz w:val="16"/>
              </w:rPr>
              <w:t>Infection / source control</w:t>
            </w:r>
          </w:p>
        </w:tc>
        <w:tc>
          <w:tcPr>
            <w:tcW w:type="dxa" w:w="5184"/>
          </w:tcPr>
          <w:p>
            <w:r>
              <w:rPr>
                <w:rFonts w:ascii="Arial" w:hAnsi="Arial"/>
                <w:b w:val="0"/>
                <w:i w:val="0"/>
                <w:color w:val="232830"/>
                <w:sz w:val="16"/>
              </w:rPr>
              <w:t>Improving. Debrided HD2, granulating base, osteomyelitis excluded on pathology 05/20. Afebrile, WBC normalized.</w:t>
            </w:r>
          </w:p>
        </w:tc>
      </w:tr>
      <w:tr>
        <w:tc>
          <w:tcPr>
            <w:tcW w:type="dxa" w:w="5184"/>
            <w:shd w:val="clear" w:fill="EDF2FA"/>
          </w:tcPr>
          <w:p>
            <w:r>
              <w:rPr>
                <w:rFonts w:ascii="Arial" w:hAnsi="Arial"/>
                <w:b w:val="0"/>
                <w:i w:val="0"/>
                <w:color w:val="232830"/>
                <w:sz w:val="16"/>
              </w:rPr>
              <w:t>Antibiotics (discharge barrier)</w:t>
            </w:r>
          </w:p>
        </w:tc>
        <w:tc>
          <w:tcPr>
            <w:tcW w:type="dxa" w:w="5184"/>
            <w:shd w:val="clear" w:fill="EDF2FA"/>
          </w:tcPr>
          <w:p>
            <w:r>
              <w:rPr>
                <w:rFonts w:ascii="Arial" w:hAnsi="Arial"/>
                <w:b w:val="0"/>
                <w:i w:val="0"/>
                <w:color w:val="232830"/>
                <w:sz w:val="16"/>
              </w:rPr>
              <w:t>Active parenteral therapy. Vancomycin, piperacillin-tazobactam, and cefepime IV, culture-directed and renally dosed, ongoing per the 05/21 MAR. No oral conversion is established: the documented sulfa allergy excludes trimethoprim-sulfamethoxazole despite susceptibility, and Infectious Disease has not finalized an oral regimen (the 05/19 plan note states it is not a final discharge antibiotic synthesis). No OPAT or home infusion is arranged. Home-health wound nursing does not administer intravenous antibiotics.</w:t>
            </w:r>
          </w:p>
        </w:tc>
      </w:tr>
      <w:tr>
        <w:tc>
          <w:tcPr>
            <w:tcW w:type="dxa" w:w="5184"/>
          </w:tcPr>
          <w:p>
            <w:r>
              <w:rPr>
                <w:rFonts w:ascii="Arial" w:hAnsi="Arial"/>
                <w:b w:val="0"/>
                <w:i w:val="0"/>
                <w:color w:val="232830"/>
                <w:sz w:val="16"/>
              </w:rPr>
              <w:t>Perfusion</w:t>
            </w:r>
          </w:p>
        </w:tc>
        <w:tc>
          <w:tcPr>
            <w:tcW w:type="dxa" w:w="5184"/>
          </w:tcPr>
          <w:p>
            <w:r>
              <w:rPr>
                <w:rFonts w:ascii="Arial" w:hAnsi="Arial"/>
                <w:b w:val="0"/>
                <w:i w:val="0"/>
                <w:color w:val="232830"/>
                <w:sz w:val="16"/>
              </w:rPr>
              <w:t>Unresolved; reasonable to defer to outpatient vascular follow-up.</w:t>
            </w:r>
          </w:p>
        </w:tc>
      </w:tr>
      <w:tr>
        <w:tc>
          <w:tcPr>
            <w:tcW w:type="dxa" w:w="5184"/>
            <w:shd w:val="clear" w:fill="EDF2FA"/>
          </w:tcPr>
          <w:p>
            <w:r>
              <w:rPr>
                <w:rFonts w:ascii="Arial" w:hAnsi="Arial"/>
                <w:b w:val="0"/>
                <w:i w:val="0"/>
                <w:color w:val="232830"/>
                <w:sz w:val="16"/>
              </w:rPr>
              <w:t>Renal (AKI on CKD)</w:t>
            </w:r>
          </w:p>
        </w:tc>
        <w:tc>
          <w:tcPr>
            <w:tcW w:type="dxa" w:w="5184"/>
            <w:shd w:val="clear" w:fill="EDF2FA"/>
          </w:tcPr>
          <w:p>
            <w:r>
              <w:rPr>
                <w:rFonts w:ascii="Arial" w:hAnsi="Arial"/>
                <w:b w:val="0"/>
                <w:i w:val="0"/>
                <w:color w:val="232830"/>
                <w:sz w:val="16"/>
              </w:rPr>
              <w:t>Improving and stable. Creatinine 1.6, near baseline 1.5. Held agents pending restart parameters.</w:t>
            </w:r>
          </w:p>
        </w:tc>
      </w:tr>
      <w:tr>
        <w:tc>
          <w:tcPr>
            <w:tcW w:type="dxa" w:w="5184"/>
          </w:tcPr>
          <w:p>
            <w:r>
              <w:rPr>
                <w:rFonts w:ascii="Arial" w:hAnsi="Arial"/>
                <w:b w:val="0"/>
                <w:i w:val="0"/>
                <w:color w:val="232830"/>
                <w:sz w:val="16"/>
              </w:rPr>
              <w:t>Offloading / mobility</w:t>
            </w:r>
          </w:p>
        </w:tc>
        <w:tc>
          <w:tcPr>
            <w:tcW w:type="dxa" w:w="5184"/>
          </w:tcPr>
          <w:p>
            <w:r>
              <w:rPr>
                <w:rFonts w:ascii="Arial" w:hAnsi="Arial"/>
                <w:b w:val="0"/>
                <w:i w:val="0"/>
                <w:color w:val="232830"/>
                <w:sz w:val="16"/>
              </w:rPr>
              <w:t>Discharge planning in progress. Offloading device and stair clearance not yet completed.</w:t>
            </w:r>
          </w:p>
        </w:tc>
      </w:tr>
      <w:tr>
        <w:tc>
          <w:tcPr>
            <w:tcW w:type="dxa" w:w="5184"/>
            <w:shd w:val="clear" w:fill="EDF2FA"/>
          </w:tcPr>
          <w:p>
            <w:r>
              <w:rPr>
                <w:rFonts w:ascii="Arial" w:hAnsi="Arial"/>
                <w:b w:val="0"/>
                <w:i w:val="0"/>
                <w:color w:val="232830"/>
                <w:sz w:val="16"/>
              </w:rPr>
              <w:t>Home support</w:t>
            </w:r>
          </w:p>
        </w:tc>
        <w:tc>
          <w:tcPr>
            <w:tcW w:type="dxa" w:w="5184"/>
            <w:shd w:val="clear" w:fill="EDF2FA"/>
          </w:tcPr>
          <w:p>
            <w:r>
              <w:rPr>
                <w:rFonts w:ascii="Arial" w:hAnsi="Arial"/>
                <w:b w:val="0"/>
                <w:i w:val="0"/>
                <w:color w:val="232830"/>
                <w:sz w:val="16"/>
              </w:rPr>
              <w:t>Discharge planning in progress. Home-health wound nursing referral placed; caregiver teaching not complete.</w:t>
            </w:r>
          </w:p>
        </w:tc>
      </w:tr>
      <w:tr>
        <w:tc>
          <w:tcPr>
            <w:tcW w:type="dxa" w:w="5184"/>
          </w:tcPr>
          <w:p>
            <w:r>
              <w:rPr>
                <w:rFonts w:ascii="Arial" w:hAnsi="Arial"/>
                <w:b w:val="0"/>
                <w:i w:val="0"/>
                <w:color w:val="232830"/>
                <w:sz w:val="16"/>
              </w:rPr>
              <w:t>Follow-up</w:t>
            </w:r>
          </w:p>
        </w:tc>
        <w:tc>
          <w:tcPr>
            <w:tcW w:type="dxa" w:w="5184"/>
          </w:tcPr>
          <w:p>
            <w:r>
              <w:rPr>
                <w:rFonts w:ascii="Arial" w:hAnsi="Arial"/>
                <w:b w:val="0"/>
                <w:i w:val="0"/>
                <w:color w:val="232830"/>
                <w:sz w:val="16"/>
              </w:rPr>
              <w:t>Outpatient vascular, wound care, and primary care to be arranged.</w:t>
            </w:r>
          </w:p>
        </w:tc>
      </w:tr>
    </w:tbl>
    <w:p/>
    <w:p>
      <w:pPr>
        <w:spacing w:before="180" w:after="60"/>
        <w:pBdr>
          <w:bottom w:val="single" w:sz="6" w:color="C9D4EA" w:space="2"/>
        </w:pBdr>
      </w:pPr>
      <w:r>
        <w:rPr>
          <w:rFonts w:ascii="Arial" w:hAnsi="Arial"/>
          <w:b/>
          <w:i w:val="0"/>
          <w:color w:val="4472C4"/>
          <w:sz w:val="20"/>
        </w:rPr>
        <w:t>DETERMINATION</w:t>
      </w:r>
    </w:p>
    <w:p>
      <w:r>
        <w:rPr>
          <w:rFonts w:ascii="Arial" w:hAnsi="Arial"/>
          <w:b w:val="0"/>
          <w:i w:val="0"/>
          <w:color w:val="232830"/>
          <w:sz w:val="19"/>
        </w:rPr>
        <w:t>Continued acute inpatient stay is medically necessary. The patient does not meet criteria for discharge home today. The active intravenous antibiotic requirement for a limb-threatening diabetic foot infection has no established oral conversion (sulfa allergy) and no OPAT arranged, and home-health wound nursing cannot administer intravenous antibiotics. Discharge home today would interrupt antibiotic therapy and risk treatment failure, readmission, and limb loss.</w:t>
      </w:r>
    </w:p>
    <w:p>
      <w:pPr>
        <w:spacing w:before="180" w:after="60"/>
        <w:pBdr>
          <w:bottom w:val="single" w:sz="6" w:color="C9D4EA" w:space="2"/>
        </w:pBdr>
      </w:pPr>
      <w:r>
        <w:rPr>
          <w:rFonts w:ascii="Arial" w:hAnsi="Arial"/>
          <w:b/>
          <w:i w:val="0"/>
          <w:color w:val="4472C4"/>
          <w:sz w:val="20"/>
        </w:rPr>
        <w:t>PLAN TO CLEAR THE STAY</w:t>
      </w:r>
    </w:p>
    <w:p>
      <w:r>
        <w:rPr>
          <w:rFonts w:ascii="Arial" w:hAnsi="Arial"/>
          <w:b w:val="0"/>
          <w:i w:val="0"/>
          <w:color w:val="232830"/>
          <w:sz w:val="19"/>
        </w:rPr>
        <w:t>Resolve the antibiotic route before discharge: establish a suitable oral regimen with Infectious Disease, accounting for the sulfa allergy and renal function, OR arrange a parenteral-capable level of care (OPAT or home infusion, or a skilled nursing facility) to complete the intravenous course. Complete offloading, stair clearance, and home-health setup in parallel. Re-review for discharge readiness when the antibiotic route and the home plan are confirmed.</w:t>
      </w:r>
    </w:p>
    <w:p>
      <w:pPr>
        <w:spacing w:before="180" w:after="60"/>
        <w:pBdr>
          <w:bottom w:val="single" w:sz="6" w:color="C9D4EA" w:space="2"/>
        </w:pBdr>
      </w:pPr>
      <w:r>
        <w:rPr>
          <w:rFonts w:ascii="Arial" w:hAnsi="Arial"/>
          <w:b/>
          <w:i w:val="0"/>
          <w:color w:val="4472C4"/>
          <w:sz w:val="20"/>
        </w:rPr>
        <w:t>DISPOSITION (FINAL)</w:t>
      </w:r>
    </w:p>
    <w:p>
      <w:r>
        <w:rPr>
          <w:rFonts w:ascii="Arial" w:hAnsi="Arial"/>
          <w:b w:val="0"/>
          <w:i w:val="0"/>
          <w:color w:val="232830"/>
          <w:sz w:val="19"/>
        </w:rPr>
        <w:t>Continued inpatient stay certified as medically necessary on hospital day 7. Discharge home today is not supported. Discharge only once the antibiotic route is resolved and the home plan is confirmed, or transition to a skilled facility capable of completing parenteral therapy.</w:t>
      </w:r>
    </w:p>
    <w:p>
      <w:pPr>
        <w:spacing w:before="200"/>
        <w:pBdr>
          <w:top w:val="single" w:sz="4" w:color="C9D4EA" w:space="4"/>
        </w:pBdr>
      </w:pPr>
      <w:r>
        <w:rPr>
          <w:rFonts w:ascii="Arial" w:hAnsi="Arial"/>
          <w:b w:val="0"/>
          <w:i/>
          <w:color w:val="5E6670"/>
          <w:sz w:val="18"/>
        </w:rPr>
        <w:t>Mara Olarte, RN - Utilization Review, 05/22/2026. Final for submission.</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CONCURRENT STAY REVIEW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CONCURRENT STAY REVIEW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CONCURRENT STAY REVIEW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