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color w:val="000000"/>
          <w:sz w:val="24"/>
        </w:rPr>
        <w:t>CORESCRIPT PHARMACY BENEFITS - CLAIM REJECTION</w:t>
      </w:r>
    </w:p>
    <w:p>
      <w:r>
        <w:rPr>
          <w:rFonts w:ascii="Arial" w:hAnsi="Arial"/>
          <w:color w:val="595959"/>
          <w:sz w:val="17"/>
        </w:rPr>
        <w:t>Pharmacy Benefit Manager | Date: 05/24/2026 | Status: Rejected, substitution offered | RE: Ondina Vasquell | MRN OV-3358104 | CSN-308852140</w:t>
      </w:r>
    </w:p>
    <w:p/>
    <w:p>
      <w:pPr>
        <w:pBdr>
          <w:bottom w:val="single" w:sz="4" w:space="1" w:color="BFBFBF"/>
        </w:pBdr>
      </w:pPr>
      <w:r>
        <w:rPr>
          <w:rFonts w:ascii="Arial" w:hAnsi="Arial"/>
          <w:b/>
          <w:color w:val="000000"/>
          <w:sz w:val="20"/>
        </w:rPr>
        <w:t>REJECTION</w:t>
      </w:r>
    </w:p>
    <w:p>
      <w:r>
        <w:rPr>
          <w:rFonts w:ascii="Arial" w:hAnsi="Arial"/>
          <w:color w:val="000000"/>
          <w:sz w:val="19"/>
        </w:rPr>
        <w:t>The submitted outpatient antibiotic claim is rejected as non-preferred on the member's formulary.</w:t>
      </w:r>
    </w:p>
    <w:p>
      <w:pPr>
        <w:pBdr>
          <w:bottom w:val="single" w:sz="4" w:space="1" w:color="BFBFBF"/>
        </w:pBdr>
      </w:pPr>
      <w:r>
        <w:rPr>
          <w:rFonts w:ascii="Arial" w:hAnsi="Arial"/>
          <w:b/>
          <w:color w:val="000000"/>
          <w:sz w:val="20"/>
        </w:rPr>
        <w:t>FORMULARY-PREFERRED ALTERNATIVES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Trimethoprim-sulfamethoxazole (preferred, lowest tier)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An oral fluoroquinolone (preferred)</w:t>
      </w:r>
    </w:p>
    <w:p>
      <w:r>
        <w:rPr>
          <w:rFonts w:ascii="Arial" w:hAnsi="Arial"/>
          <w:color w:val="000000"/>
          <w:sz w:val="19"/>
        </w:rPr>
        <w:t>Please prescribe a preferred alternative or submit a prior authorization with clinical justification for the non-preferred agent.</w:t>
      </w:r>
    </w:p>
    <w:p/>
    <w:p>
      <w:r>
        <w:rPr>
          <w:rFonts w:ascii="Arial" w:hAnsi="Arial"/>
          <w:i/>
          <w:color w:val="000000"/>
          <w:sz w:val="19"/>
        </w:rPr>
        <w:t>CoreScript Pharmacy Benefits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