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05/19/2026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05/19/2026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LOWER EXTREMITY ARTERIAL STUDY (ABI / TBI)</w:t>
      </w:r>
    </w:p>
    <w:p>
      <w:r>
        <w:rPr>
          <w:rFonts w:ascii="Arial" w:hAnsi="Arial"/>
          <w:color w:val="595959"/>
          <w:sz w:val="17"/>
        </w:rPr>
        <w:t>Author: Vascular Laboratory | Date of Service: 05/19/2026 1120 | Status: Final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INDICATION</w:t>
      </w:r>
    </w:p>
    <w:p>
      <w:r>
        <w:rPr>
          <w:rFonts w:ascii="Arial" w:hAnsi="Arial"/>
          <w:color w:val="000000"/>
          <w:sz w:val="19"/>
        </w:rPr>
        <w:t>Diabetic foot infection, assess lower-extremity perfusion.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RESULTS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Measure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Right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Left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Ankle-brachial index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Noncompressible (greater than 1.3)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Noncompressible (greater than 1.3)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Ankle waveform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Monophasic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Monophasic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Toe-brachial index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0.6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0.5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Toe pressure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44 mmHg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38 mmHg</w:t>
            </w:r>
          </w:p>
        </w:tc>
      </w:tr>
    </w:tbl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IMPRESSION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Ankle indices are noncompressible bilaterally, consistent with medial arterial calcification; ankle-brachial index is unreliable in this setting.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Toe-brachial index and toe pressures are reduced, left more than right.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Reported values; correlate clinically. Perfusion adequacy for wound healing is a clinical determination.</w:t>
      </w:r>
    </w:p>
    <w:p/>
    <w:p>
      <w:r>
        <w:rPr>
          <w:rFonts w:ascii="Arial" w:hAnsi="Arial"/>
          <w:i/>
          <w:color w:val="000000"/>
          <w:sz w:val="19"/>
        </w:rPr>
        <w:t>Electronically signed by Vascular Laboratory on 05/19/2026 1155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