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05/19/2026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HD4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05/19/2026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INFECTIOUS DISEASE ANTIBIOTIC PLAN NOTE</w:t>
      </w:r>
    </w:p>
    <w:p>
      <w:r>
        <w:rPr>
          <w:rFonts w:ascii="Arial" w:hAnsi="Arial"/>
          <w:color w:val="595959"/>
          <w:sz w:val="17"/>
        </w:rPr>
        <w:t>Author: Helena Brusk, MD - Infectious Disease | Date of Service: 05/19/2026 1630 | Status: Signed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CURRENT THERAPY</w:t>
      </w:r>
    </w:p>
    <w:p>
      <w:r>
        <w:rPr>
          <w:rFonts w:ascii="Arial" w:hAnsi="Arial"/>
          <w:color w:val="000000"/>
          <w:sz w:val="19"/>
        </w:rPr>
        <w:t>Empiric vancomycin and piperacillin-tazobactam since 05/16, renally dosed. Deep-tissue culture grew MSSA and Streptococcus agalactiae.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PLAN (RECOMMENDATION LEVEL)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De-escalate toward a beta-lactam with MSSA and streptococcal activity; cefepime renally dosed is in use and a narrower agent is appropriate as the course continues.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Account for the documented sulfa allergy in any oral step-down; trimethoprim-sulfamethoxazole is not an option despite susceptibility.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Renal dose all agents to the current creatinine; coordinate with pharmacy.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Total duration depends on the soft-tissue course and whether osteomyelitis is later established; not finalized here.</w:t>
      </w:r>
    </w:p>
    <w:p>
      <w:r>
        <w:rPr>
          <w:rFonts w:ascii="Arial" w:hAnsi="Arial"/>
          <w:color w:val="000000"/>
          <w:sz w:val="19"/>
        </w:rPr>
        <w:t>This note is a recommendation and not a final discharge antibiotic synthesis.</w:t>
      </w:r>
    </w:p>
    <w:p/>
    <w:p>
      <w:r>
        <w:rPr>
          <w:rFonts w:ascii="Arial" w:hAnsi="Arial"/>
          <w:i/>
          <w:color w:val="000000"/>
          <w:sz w:val="19"/>
        </w:rPr>
        <w:t>Electronically signed by Helena Brusk, MD on 05/19/2026 1700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08080"/>
        <w:sz w:val="15"/>
      </w:rPr>
      <w:t>Korvin Merrow  |  MRN KM-6427819  |  DOB 02/18/1964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