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05/20/2026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HD5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05/20/2026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CASE MANAGEMENT NOTE</w:t>
      </w:r>
    </w:p>
    <w:p>
      <w:r>
        <w:rPr>
          <w:rFonts w:ascii="Arial" w:hAnsi="Arial"/>
          <w:color w:val="595959"/>
          <w:sz w:val="17"/>
        </w:rPr>
        <w:t>Author: Lorna Defreze, RN, CCM - Care Management | Date of Service: 05/20/2026 1545 | Status: Signed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REASON FOR SCREEN</w:t>
      </w:r>
    </w:p>
    <w:p>
      <w:r>
        <w:rPr>
          <w:rFonts w:ascii="Arial" w:hAnsi="Arial"/>
          <w:color w:val="000000"/>
          <w:sz w:val="19"/>
        </w:rPr>
        <w:t>Discharge planning for limb-threat diabetic foot infection with skilled wound needs.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BARRIERS AND CONTEXT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Lives alone in a second-floor walk-up with interior stairs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Daughter is primary caregiver but works night shifts; availability is partial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Spanish-preferred; interpreter needed for teaching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Skilled wound dressing changes currently required; offloading device pending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Insurance: Medicare Advantage primary, Medicaid secondary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OPTIONS UNDER REVIEW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Skilled nursing facility for wound care and rehabilitation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Home with home-health nursing and caregiver support, contingent on teach-back and equipment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PENDING</w:t>
      </w:r>
    </w:p>
    <w:p>
      <w:r>
        <w:rPr>
          <w:rFonts w:ascii="Arial" w:hAnsi="Arial"/>
          <w:color w:val="000000"/>
          <w:sz w:val="19"/>
        </w:rPr>
        <w:t>Durable medical equipment pending; offloading device and home-health setup not yet confirmed; caregiver training incomplete. Disposition not determined; barriers documented for the team.</w:t>
      </w:r>
    </w:p>
    <w:p/>
    <w:p>
      <w:r>
        <w:rPr>
          <w:rFonts w:ascii="Arial" w:hAnsi="Arial"/>
          <w:i/>
          <w:color w:val="000000"/>
          <w:sz w:val="19"/>
        </w:rPr>
        <w:t>Electronically signed by Lorna Defreze, RN, CCM on 05/20/2026 1620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