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05/21/2026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HD1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05/21/2026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CBC AND INFLAMMATORY MARKER TREND</w:t>
      </w:r>
    </w:p>
    <w:p>
      <w:r>
        <w:rPr>
          <w:rFonts w:ascii="Arial" w:hAnsi="Arial"/>
          <w:color w:val="595959"/>
          <w:sz w:val="17"/>
        </w:rPr>
        <w:t>Author: Results Review | Date of Service: 05/21/2026 1730 | Status: Final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TREND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17"/>
              </w:rPr>
              <w:t>Date</w:t>
            </w:r>
          </w:p>
        </w:tc>
        <w:tc>
          <w:tcPr>
            <w:tcW w:type="dxa" w:w="207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17"/>
              </w:rPr>
              <w:t>WBC (K/uL)</w:t>
            </w:r>
          </w:p>
        </w:tc>
        <w:tc>
          <w:tcPr>
            <w:tcW w:type="dxa" w:w="207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17"/>
              </w:rPr>
              <w:t>CRP (mg/L)</w:t>
            </w:r>
          </w:p>
        </w:tc>
        <w:tc>
          <w:tcPr>
            <w:tcW w:type="dxa" w:w="207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17"/>
              </w:rPr>
              <w:t>Hemoglobin (g/dL)</w:t>
            </w:r>
          </w:p>
        </w:tc>
        <w:tc>
          <w:tcPr>
            <w:tcW w:type="dxa" w:w="207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17"/>
              </w:rPr>
              <w:t>Platelets (K/uL)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05/16 HD1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14.2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118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9.8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318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05/17 HD2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12.1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96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9.7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322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05/19 HD4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10.4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62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9.8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330</w:t>
            </w:r>
          </w:p>
        </w:tc>
      </w:tr>
      <w:tr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05/21 HD6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8.9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41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9.8</w:t>
            </w:r>
          </w:p>
        </w:tc>
        <w:tc>
          <w:tcPr>
            <w:tcW w:type="dxa" w:w="2074"/>
          </w:tcPr>
          <w:p>
            <w:r>
              <w:rPr>
                <w:rFonts w:ascii="Arial" w:hAnsi="Arial"/>
                <w:color w:val="000000"/>
                <w:sz w:val="17"/>
              </w:rPr>
              <w:t>315</w:t>
            </w:r>
          </w:p>
        </w:tc>
      </w:tr>
    </w:tbl>
    <w:p/>
    <w:p>
      <w:r>
        <w:rPr>
          <w:rFonts w:ascii="Arial" w:hAnsi="Arial"/>
          <w:color w:val="000000"/>
          <w:sz w:val="19"/>
        </w:rPr>
        <w:t>White count and C-reactive protein have fallen toward normal, consistent with treated infection. Hemoglobin remains around 9.8 (anemia of chronic kidney disease) and is unchanged; this remains an open item and is not addressed by an erythropoiesis-stimulating agent on the current record.</w:t>
      </w:r>
    </w:p>
    <w:p/>
    <w:p>
      <w:r>
        <w:rPr>
          <w:rFonts w:ascii="Arial" w:hAnsi="Arial"/>
          <w:i/>
          <w:color w:val="000000"/>
          <w:sz w:val="19"/>
        </w:rPr>
        <w:t>Generated from results review on 05/21/2026 1730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