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05/19/2026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HD2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05/19/2026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MICROBIOLOGY REPORT - DEEP TISSUE</w:t>
      </w:r>
    </w:p>
    <w:p>
      <w:r>
        <w:rPr>
          <w:rFonts w:ascii="Arial" w:hAnsi="Arial"/>
          <w:color w:val="595959"/>
          <w:sz w:val="17"/>
        </w:rPr>
        <w:t>Author: Microbiology | Source: Operative deep soft tissue (05/17) | Date Reported: 05/19/2026 | Status: Final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SOURCE</w:t>
      </w:r>
    </w:p>
    <w:p>
      <w:r>
        <w:rPr>
          <w:rFonts w:ascii="Arial" w:hAnsi="Arial"/>
          <w:color w:val="000000"/>
          <w:sz w:val="19"/>
        </w:rPr>
        <w:t>Deep soft tissue obtained at operative debridement on 05/17/2026 (higher-authority specimen).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RESULT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Staphylococcus aureus, methicillin-susceptible (MSSA): moderate growth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Streptococcus agalactiae: moderate growth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Anaerobic culture: no growth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SUSCEPTIBILITIES (MSSA)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84"/>
        <w:gridCol w:w="5184"/>
      </w:tblGrid>
      <w:tr>
        <w:tc>
          <w:tcPr>
            <w:tcW w:type="dxa" w:w="518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Agent</w:t>
            </w:r>
          </w:p>
        </w:tc>
        <w:tc>
          <w:tcPr>
            <w:tcW w:type="dxa" w:w="518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Interpretation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Oxacillin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Susceptible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Cefazolin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Susceptible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Clindamycin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Susceptible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Trimethoprim-sulfamethoxazole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Susceptible (patient has a documented sulfa allergy)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Vancomycin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color w:val="000000"/>
                <w:sz w:val="17"/>
              </w:rPr>
              <w:t>Susceptible</w:t>
            </w:r>
          </w:p>
        </w:tc>
      </w:tr>
    </w:tbl>
    <w:p/>
    <w:p/>
    <w:p>
      <w:r>
        <w:rPr>
          <w:rFonts w:ascii="Arial" w:hAnsi="Arial"/>
          <w:i/>
          <w:color w:val="000000"/>
          <w:sz w:val="19"/>
        </w:rPr>
        <w:t>Generated from microbiology on 05/19/2026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