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color w:val="595959"/>
                <w:sz w:val="15"/>
              </w:rPr>
              <w:t>Confidential - Filed 05/19/2026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0368"/>
            <w:gridSpan w:val="4"/>
            <w:shd w:val="clear" w:color="auto" w:fill="EAEAEA"/>
          </w:tcPr>
          <w:p>
            <w:r>
              <w:rPr>
                <w:rFonts w:ascii="Arial" w:hAnsi="Arial"/>
                <w:b/>
                <w:color w:val="000000"/>
                <w:sz w:val="22"/>
              </w:rPr>
              <w:t>Ondina Vasquell</w:t>
            </w:r>
            <w:r>
              <w:rPr>
                <w:rFonts w:ascii="Arial" w:hAnsi="Arial"/>
                <w:b/>
                <w:color w:val="000000"/>
                <w:sz w:val="18"/>
              </w:rPr>
              <w:t xml:space="preserve">      MRN OV-3358104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DOB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03/14/1958 (68 yo)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Sex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Female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Code Status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Full Code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Allergies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Sulfa (sulfonamide antibiotics) - rash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CSN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CSN-308852140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Admit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05/16/2026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Hospital Day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HD4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Attending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Marisol Everet, MD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Location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6 South Medicine - 6S-214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Hospital Medicine</w:t>
            </w:r>
          </w:p>
        </w:tc>
      </w:tr>
      <w:tr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Language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Spanish preferred (interpreter used)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b/>
                <w:color w:val="595959"/>
                <w:sz w:val="16"/>
              </w:rPr>
              <w:t>Date of Service</w:t>
            </w:r>
          </w:p>
        </w:tc>
        <w:tc>
          <w:tcPr>
            <w:tcW w:type="dxa" w:w="2592"/>
            <w:shd w:val="clear" w:color="auto" w:fill="EAEAEA"/>
          </w:tcPr>
          <w:p>
            <w:r>
              <w:rPr>
                <w:rFonts w:ascii="Arial" w:hAnsi="Arial"/>
                <w:color w:val="000000"/>
                <w:sz w:val="18"/>
              </w:rPr>
              <w:t>05/19/2026</w:t>
            </w:r>
          </w:p>
        </w:tc>
      </w:tr>
    </w:tbl>
    <w:p/>
    <w:p>
      <w:r>
        <w:rPr>
          <w:rFonts w:ascii="Arial" w:hAnsi="Arial"/>
          <w:b/>
          <w:color w:val="000000"/>
          <w:sz w:val="24"/>
        </w:rPr>
        <w:t>ENDOCRINOLOGY AND DIABETES EDUCATION NOTE</w:t>
      </w:r>
    </w:p>
    <w:p>
      <w:r>
        <w:rPr>
          <w:rFonts w:ascii="Arial" w:hAnsi="Arial"/>
          <w:color w:val="595959"/>
          <w:sz w:val="17"/>
        </w:rPr>
        <w:t>Author: Imran Saafeld, MD - Endocrinology | Date of Service: 05/19/2026 1100 | Status: Signed</w:t>
      </w:r>
    </w:p>
    <w:p/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REASON FOR CONSULTATION</w:t>
      </w:r>
    </w:p>
    <w:p>
      <w:r>
        <w:rPr>
          <w:rFonts w:ascii="Arial" w:hAnsi="Arial"/>
          <w:color w:val="000000"/>
          <w:sz w:val="19"/>
        </w:rPr>
        <w:t>Inpatient glycemic management during acute infection in insulin-treated type 2 diabetes.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ASSESSMENT</w:t>
      </w:r>
    </w:p>
    <w:p>
      <w:r>
        <w:rPr>
          <w:rFonts w:ascii="Arial" w:hAnsi="Arial"/>
          <w:color w:val="000000"/>
          <w:sz w:val="19"/>
        </w:rPr>
        <w:t>Type 2 diabetes, insulin-treated, last A1c 8.6 percent. Glucose elevated with infection and is improving as the infection is treated. Oral agents (metformin, empagliflozin) are held during the acute illness and renal injury.</w:t>
      </w:r>
    </w:p>
    <w:p>
      <w:pPr>
        <w:pBdr>
          <w:bottom w:val="single" w:sz="4" w:space="1" w:color="BFBFBF"/>
        </w:pBdr>
      </w:pPr>
      <w:r>
        <w:rPr>
          <w:rFonts w:ascii="Arial" w:hAnsi="Arial"/>
          <w:b/>
          <w:color w:val="000000"/>
          <w:sz w:val="20"/>
        </w:rPr>
        <w:t>PLAN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Continue basal glargine, adjusted to intake; prandial aspart sliding scale.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Avoid metformin and empagliflozin during acute infection and renal injury; restart is a later judgment.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Diabetes education with interpreter, including foot care; reinforce before discharge.</w:t>
      </w:r>
    </w:p>
    <w:p>
      <w:pPr>
        <w:pStyle w:val="ListBullet"/>
      </w:pPr>
      <w:r>
        <w:rPr>
          <w:rFonts w:ascii="Arial" w:hAnsi="Arial"/>
          <w:color w:val="000000"/>
          <w:sz w:val="19"/>
        </w:rPr>
        <w:t>Outpatient diabetes follow-up.</w:t>
      </w:r>
    </w:p>
    <w:p/>
    <w:p>
      <w:r>
        <w:rPr>
          <w:rFonts w:ascii="Arial" w:hAnsi="Arial"/>
          <w:i/>
          <w:color w:val="000000"/>
          <w:sz w:val="19"/>
        </w:rPr>
        <w:t>Electronically signed by Imran Saafeld, MD on 05/19/2026 1135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