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color w:val="595959"/>
                <w:sz w:val="15"/>
              </w:rPr>
              <w:t>Confidential - Filed 05/18/2026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10368"/>
            <w:gridSpan w:val="4"/>
            <w:shd w:val="clear" w:color="auto" w:fill="EAEAEA"/>
          </w:tcPr>
          <w:p>
            <w:r>
              <w:rPr>
                <w:rFonts w:ascii="Arial" w:hAnsi="Arial"/>
                <w:b/>
                <w:color w:val="000000"/>
                <w:sz w:val="22"/>
              </w:rPr>
              <w:t>Ondina Vasquell</w:t>
            </w:r>
            <w:r>
              <w:rPr>
                <w:rFonts w:ascii="Arial" w:hAnsi="Arial"/>
                <w:b/>
                <w:color w:val="000000"/>
                <w:sz w:val="18"/>
              </w:rPr>
              <w:t xml:space="preserve">      MRN OV-3358104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DOB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03/14/1958 (68 yo)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Sex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Female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Code Status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Full Code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Allergies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Sulfa (sulfonamide antibiotics) - rash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CSN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CSN-308852140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Admit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05/16/2026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Hospital Day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HD3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Attending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Marisol Everet, MD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Location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6 South Medicine - 6S-214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Hospital Medicine</w:t>
            </w:r>
          </w:p>
        </w:tc>
      </w:tr>
      <w:tr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Language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Spanish preferred (interpreter used)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b/>
                <w:color w:val="595959"/>
                <w:sz w:val="16"/>
              </w:rPr>
              <w:t>Date of Service</w:t>
            </w:r>
          </w:p>
        </w:tc>
        <w:tc>
          <w:tcPr>
            <w:tcW w:type="dxa" w:w="2592"/>
            <w:shd w:val="clear" w:color="auto" w:fill="EAEAEA"/>
          </w:tcPr>
          <w:p>
            <w:r>
              <w:rPr>
                <w:rFonts w:ascii="Arial" w:hAnsi="Arial"/>
                <w:color w:val="000000"/>
                <w:sz w:val="18"/>
              </w:rPr>
              <w:t>05/18/2026</w:t>
            </w:r>
          </w:p>
        </w:tc>
      </w:tr>
    </w:tbl>
    <w:p/>
    <w:p>
      <w:r>
        <w:rPr>
          <w:rFonts w:ascii="Arial" w:hAnsi="Arial"/>
          <w:b/>
          <w:color w:val="000000"/>
          <w:sz w:val="24"/>
        </w:rPr>
        <w:t>INFECTIOUS DISEASE CONSULTATION</w:t>
      </w:r>
    </w:p>
    <w:p>
      <w:r>
        <w:rPr>
          <w:rFonts w:ascii="Arial" w:hAnsi="Arial"/>
          <w:color w:val="595959"/>
          <w:sz w:val="17"/>
        </w:rPr>
        <w:t>Author: Helena Brusk, MD - Infectious Disease | Date of Service: 05/18/2026 1500 | Status: Signed</w:t>
      </w:r>
    </w:p>
    <w:p/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REASON FOR CONSULTATION</w:t>
      </w:r>
    </w:p>
    <w:p>
      <w:r>
        <w:rPr>
          <w:rFonts w:ascii="Arial" w:hAnsi="Arial"/>
          <w:color w:val="000000"/>
          <w:sz w:val="19"/>
        </w:rPr>
        <w:t>Antimicrobial management of limb-threatening diabetic foot infection with renal impairment.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HISTORY AND SOURCE REVIEW</w:t>
      </w:r>
    </w:p>
    <w:p>
      <w:r>
        <w:rPr>
          <w:rFonts w:ascii="Arial" w:hAnsi="Arial"/>
          <w:color w:val="000000"/>
          <w:sz w:val="19"/>
        </w:rPr>
        <w:t>Reviewed the admission record, operative findings, and imaging. The patient has a limb-threat diabetic foot infection, debrided on hospital day 2 with a granulating base and no exposed bone. MRI shows soft-tissue infection with adjacent marrow edema reported as equivocal for early osteomyelitis. Deep-tissue cultures are pending at the time of this note.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EXAMINATION</w:t>
      </w:r>
    </w:p>
    <w:p>
      <w:r>
        <w:rPr>
          <w:rFonts w:ascii="Arial" w:hAnsi="Arial"/>
          <w:color w:val="000000"/>
          <w:sz w:val="19"/>
        </w:rPr>
        <w:t>Afebrile trend. Left forefoot wound clean post-debridement, decreased surrounding erythema, no crepitus, no exposed bone.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IMPRESSION</w:t>
      </w:r>
    </w:p>
    <w:p>
      <w:r>
        <w:rPr>
          <w:rFonts w:ascii="Arial" w:hAnsi="Arial"/>
          <w:color w:val="000000"/>
          <w:sz w:val="19"/>
        </w:rPr>
        <w:t>Deep soft-tissue diabetic foot infection, improving on empiric vancomycin and piperacillin-tazobactam. The imaging marrow signal is equivocal; osteomyelitis is not established by current data. We are treating a soft-tissue infection and will reassess if culture or pathology changes the picture.</w:t>
      </w:r>
    </w:p>
    <w:p>
      <w:pPr>
        <w:pBdr>
          <w:bottom w:val="single" w:sz="4" w:space="1" w:color="BFBFBF"/>
        </w:pBdr>
      </w:pPr>
      <w:r>
        <w:rPr>
          <w:rFonts w:ascii="Arial" w:hAnsi="Arial"/>
          <w:b/>
          <w:color w:val="000000"/>
          <w:sz w:val="20"/>
        </w:rPr>
        <w:t>RECOMMENDATIONS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Continue empiric vancomycin (by level) and piperacillin-tazobactam, renally dosed for eGFR in the 30s.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De-escalate to culture-directed therapy when deep-tissue cultures result; account for the documented sulfa allergy when choosing oral options.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Do not commit to an osteomyelitis-duration course at this time; the marrow finding is equivocal and pathology is pending.</w:t>
      </w:r>
    </w:p>
    <w:p>
      <w:pPr>
        <w:pStyle w:val="ListBullet"/>
      </w:pPr>
      <w:r>
        <w:rPr>
          <w:rFonts w:ascii="Arial" w:hAnsi="Arial"/>
          <w:color w:val="000000"/>
          <w:sz w:val="19"/>
        </w:rPr>
        <w:t>Reassess antibiotic plan after cultures and pathology; coordinate renal dosing with pharmacy.</w:t>
      </w:r>
    </w:p>
    <w:p/>
    <w:p>
      <w:r>
        <w:rPr>
          <w:rFonts w:ascii="Arial" w:hAnsi="Arial"/>
          <w:i/>
          <w:color w:val="000000"/>
          <w:sz w:val="19"/>
        </w:rPr>
        <w:t>Electronically signed by Helena Brusk, MD on 05/18/2026 1540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