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5184"/>
        <w:gridCol w:w="5184"/>
      </w:tblGrid>
      <w:tr>
        <w:tc>
          <w:tcPr>
            <w:tcW w:type="dxa" w:w="5184"/>
          </w:tcPr>
          <w:p>
            <w:r>
              <w:rPr>
                <w:rFonts w:ascii="Arial" w:hAnsi="Arial"/>
                <w:b/>
                <w:color w:val="000000"/>
                <w:sz w:val="22"/>
              </w:rPr>
              <w:t>Harbor Crest Regional Medical Center</w:t>
            </w:r>
          </w:p>
        </w:tc>
        <w:tc>
          <w:tcPr>
            <w:tcW w:type="dxa" w:w="5184"/>
          </w:tcPr>
          <w:p>
            <w:pPr>
              <w:jc w:val="right"/>
            </w:pPr>
            <w:r>
              <w:rPr>
                <w:rFonts w:ascii="Arial" w:hAnsi="Arial"/>
                <w:color w:val="595959"/>
                <w:sz w:val="15"/>
              </w:rPr>
              <w:t>Confidential - Filed 05/17/2026</w:t>
            </w:r>
          </w:p>
        </w:tc>
      </w:tr>
    </w:tbl>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2"/>
        <w:gridCol w:w="2592"/>
        <w:gridCol w:w="2592"/>
        <w:gridCol w:w="2592"/>
      </w:tblGrid>
      <w:tr>
        <w:tc>
          <w:tcPr>
            <w:tcW w:type="dxa" w:w="10368"/>
            <w:gridSpan w:val="4"/>
            <w:shd w:val="clear" w:color="auto" w:fill="EAEAEA"/>
          </w:tcPr>
          <w:p>
            <w:r>
              <w:rPr>
                <w:rFonts w:ascii="Arial" w:hAnsi="Arial"/>
                <w:b/>
                <w:color w:val="000000"/>
                <w:sz w:val="22"/>
              </w:rPr>
              <w:t>Ondina Vasquell</w:t>
            </w:r>
            <w:r>
              <w:rPr>
                <w:rFonts w:ascii="Arial" w:hAnsi="Arial"/>
                <w:b/>
                <w:color w:val="000000"/>
                <w:sz w:val="18"/>
              </w:rPr>
              <w:t xml:space="preserve">      MRN OV-3358104</w:t>
            </w:r>
          </w:p>
        </w:tc>
      </w:tr>
      <w:tr>
        <w:tc>
          <w:tcPr>
            <w:tcW w:type="dxa" w:w="2592"/>
            <w:shd w:val="clear" w:color="auto" w:fill="EAEAEA"/>
          </w:tcPr>
          <w:p>
            <w:r>
              <w:rPr>
                <w:rFonts w:ascii="Arial" w:hAnsi="Arial"/>
                <w:b/>
                <w:color w:val="595959"/>
                <w:sz w:val="16"/>
              </w:rPr>
              <w:t>DOB</w:t>
            </w:r>
          </w:p>
        </w:tc>
        <w:tc>
          <w:tcPr>
            <w:tcW w:type="dxa" w:w="2592"/>
            <w:shd w:val="clear" w:color="auto" w:fill="EAEAEA"/>
          </w:tcPr>
          <w:p>
            <w:r>
              <w:rPr>
                <w:rFonts w:ascii="Arial" w:hAnsi="Arial"/>
                <w:color w:val="000000"/>
                <w:sz w:val="18"/>
              </w:rPr>
              <w:t>03/14/1958 (68 yo)</w:t>
            </w:r>
          </w:p>
        </w:tc>
        <w:tc>
          <w:tcPr>
            <w:tcW w:type="dxa" w:w="2592"/>
            <w:shd w:val="clear" w:color="auto" w:fill="EAEAEA"/>
          </w:tcPr>
          <w:p>
            <w:r>
              <w:rPr>
                <w:rFonts w:ascii="Arial" w:hAnsi="Arial"/>
                <w:b/>
                <w:color w:val="595959"/>
                <w:sz w:val="16"/>
              </w:rPr>
              <w:t>Sex</w:t>
            </w:r>
          </w:p>
        </w:tc>
        <w:tc>
          <w:tcPr>
            <w:tcW w:type="dxa" w:w="2592"/>
            <w:shd w:val="clear" w:color="auto" w:fill="EAEAEA"/>
          </w:tcPr>
          <w:p>
            <w:r>
              <w:rPr>
                <w:rFonts w:ascii="Arial" w:hAnsi="Arial"/>
                <w:color w:val="000000"/>
                <w:sz w:val="18"/>
              </w:rPr>
              <w:t>Female</w:t>
            </w:r>
          </w:p>
        </w:tc>
      </w:tr>
      <w:tr>
        <w:tc>
          <w:tcPr>
            <w:tcW w:type="dxa" w:w="2592"/>
            <w:shd w:val="clear" w:color="auto" w:fill="EAEAEA"/>
          </w:tcPr>
          <w:p>
            <w:r>
              <w:rPr>
                <w:rFonts w:ascii="Arial" w:hAnsi="Arial"/>
                <w:b/>
                <w:color w:val="595959"/>
                <w:sz w:val="16"/>
              </w:rPr>
              <w:t>Code Status</w:t>
            </w:r>
          </w:p>
        </w:tc>
        <w:tc>
          <w:tcPr>
            <w:tcW w:type="dxa" w:w="2592"/>
            <w:shd w:val="clear" w:color="auto" w:fill="EAEAEA"/>
          </w:tcPr>
          <w:p>
            <w:r>
              <w:rPr>
                <w:rFonts w:ascii="Arial" w:hAnsi="Arial"/>
                <w:color w:val="000000"/>
                <w:sz w:val="18"/>
              </w:rPr>
              <w:t>Full Code</w:t>
            </w:r>
          </w:p>
        </w:tc>
        <w:tc>
          <w:tcPr>
            <w:tcW w:type="dxa" w:w="2592"/>
            <w:shd w:val="clear" w:color="auto" w:fill="EAEAEA"/>
          </w:tcPr>
          <w:p>
            <w:r>
              <w:rPr>
                <w:rFonts w:ascii="Arial" w:hAnsi="Arial"/>
                <w:b/>
                <w:color w:val="595959"/>
                <w:sz w:val="16"/>
              </w:rPr>
              <w:t>Allergies</w:t>
            </w:r>
          </w:p>
        </w:tc>
        <w:tc>
          <w:tcPr>
            <w:tcW w:type="dxa" w:w="2592"/>
            <w:shd w:val="clear" w:color="auto" w:fill="EAEAEA"/>
          </w:tcPr>
          <w:p>
            <w:r>
              <w:rPr>
                <w:rFonts w:ascii="Arial" w:hAnsi="Arial"/>
                <w:color w:val="000000"/>
                <w:sz w:val="18"/>
              </w:rPr>
              <w:t>Sulfa (sulfonamide antibiotics) - rash</w:t>
            </w:r>
          </w:p>
        </w:tc>
      </w:tr>
      <w:tr>
        <w:tc>
          <w:tcPr>
            <w:tcW w:type="dxa" w:w="2592"/>
            <w:shd w:val="clear" w:color="auto" w:fill="EAEAEA"/>
          </w:tcPr>
          <w:p>
            <w:r>
              <w:rPr>
                <w:rFonts w:ascii="Arial" w:hAnsi="Arial"/>
                <w:b/>
                <w:color w:val="595959"/>
                <w:sz w:val="16"/>
              </w:rPr>
              <w:t>CSN</w:t>
            </w:r>
          </w:p>
        </w:tc>
        <w:tc>
          <w:tcPr>
            <w:tcW w:type="dxa" w:w="2592"/>
            <w:shd w:val="clear" w:color="auto" w:fill="EAEAEA"/>
          </w:tcPr>
          <w:p>
            <w:r>
              <w:rPr>
                <w:rFonts w:ascii="Arial" w:hAnsi="Arial"/>
                <w:color w:val="000000"/>
                <w:sz w:val="18"/>
              </w:rPr>
              <w:t>CSN-308852140</w:t>
            </w:r>
          </w:p>
        </w:tc>
        <w:tc>
          <w:tcPr>
            <w:tcW w:type="dxa" w:w="2592"/>
            <w:shd w:val="clear" w:color="auto" w:fill="EAEAEA"/>
          </w:tcPr>
          <w:p>
            <w:r>
              <w:rPr>
                <w:rFonts w:ascii="Arial" w:hAnsi="Arial"/>
                <w:b/>
                <w:color w:val="595959"/>
                <w:sz w:val="16"/>
              </w:rPr>
              <w:t>Admit</w:t>
            </w:r>
          </w:p>
        </w:tc>
        <w:tc>
          <w:tcPr>
            <w:tcW w:type="dxa" w:w="2592"/>
            <w:shd w:val="clear" w:color="auto" w:fill="EAEAEA"/>
          </w:tcPr>
          <w:p>
            <w:r>
              <w:rPr>
                <w:rFonts w:ascii="Arial" w:hAnsi="Arial"/>
                <w:color w:val="000000"/>
                <w:sz w:val="18"/>
              </w:rPr>
              <w:t>05/16/2026</w:t>
            </w:r>
          </w:p>
        </w:tc>
      </w:tr>
      <w:tr>
        <w:tc>
          <w:tcPr>
            <w:tcW w:type="dxa" w:w="2592"/>
            <w:shd w:val="clear" w:color="auto" w:fill="EAEAEA"/>
          </w:tcPr>
          <w:p>
            <w:r>
              <w:rPr>
                <w:rFonts w:ascii="Arial" w:hAnsi="Arial"/>
                <w:b/>
                <w:color w:val="595959"/>
                <w:sz w:val="16"/>
              </w:rPr>
              <w:t>Hospital Day</w:t>
            </w:r>
          </w:p>
        </w:tc>
        <w:tc>
          <w:tcPr>
            <w:tcW w:type="dxa" w:w="2592"/>
            <w:shd w:val="clear" w:color="auto" w:fill="EAEAEA"/>
          </w:tcPr>
          <w:p>
            <w:r>
              <w:rPr>
                <w:rFonts w:ascii="Arial" w:hAnsi="Arial"/>
                <w:color w:val="000000"/>
                <w:sz w:val="18"/>
              </w:rPr>
              <w:t>HD2</w:t>
            </w:r>
          </w:p>
        </w:tc>
        <w:tc>
          <w:tcPr>
            <w:tcW w:type="dxa" w:w="2592"/>
            <w:shd w:val="clear" w:color="auto" w:fill="EAEAEA"/>
          </w:tcPr>
          <w:p>
            <w:r>
              <w:rPr>
                <w:rFonts w:ascii="Arial" w:hAnsi="Arial"/>
                <w:b/>
                <w:color w:val="595959"/>
                <w:sz w:val="16"/>
              </w:rPr>
              <w:t>Attending</w:t>
            </w:r>
          </w:p>
        </w:tc>
        <w:tc>
          <w:tcPr>
            <w:tcW w:type="dxa" w:w="2592"/>
            <w:shd w:val="clear" w:color="auto" w:fill="EAEAEA"/>
          </w:tcPr>
          <w:p>
            <w:r>
              <w:rPr>
                <w:rFonts w:ascii="Arial" w:hAnsi="Arial"/>
                <w:color w:val="000000"/>
                <w:sz w:val="18"/>
              </w:rPr>
              <w:t>Marisol Everet, MD</w:t>
            </w:r>
          </w:p>
        </w:tc>
      </w:tr>
      <w:tr>
        <w:tc>
          <w:tcPr>
            <w:tcW w:type="dxa" w:w="2592"/>
            <w:shd w:val="clear" w:color="auto" w:fill="EAEAEA"/>
          </w:tcPr>
          <w:p>
            <w:r>
              <w:rPr>
                <w:rFonts w:ascii="Arial" w:hAnsi="Arial"/>
                <w:b/>
                <w:color w:val="595959"/>
                <w:sz w:val="16"/>
              </w:rPr>
              <w:t>Location</w:t>
            </w:r>
          </w:p>
        </w:tc>
        <w:tc>
          <w:tcPr>
            <w:tcW w:type="dxa" w:w="2592"/>
            <w:shd w:val="clear" w:color="auto" w:fill="EAEAEA"/>
          </w:tcPr>
          <w:p>
            <w:r>
              <w:rPr>
                <w:rFonts w:ascii="Arial" w:hAnsi="Arial"/>
                <w:color w:val="000000"/>
                <w:sz w:val="18"/>
              </w:rPr>
              <w:t>6 South Medicine - 6S-214</w:t>
            </w:r>
          </w:p>
        </w:tc>
        <w:tc>
          <w:tcPr>
            <w:tcW w:type="dxa" w:w="2592"/>
            <w:shd w:val="clear" w:color="auto" w:fill="EAEAEA"/>
          </w:tcPr>
          <w:p>
            <w:r>
              <w:rPr>
                <w:rFonts w:ascii="Arial" w:hAnsi="Arial"/>
                <w:b/>
                <w:color w:val="595959"/>
                <w:sz w:val="16"/>
              </w:rPr>
              <w:t>Service</w:t>
            </w:r>
          </w:p>
        </w:tc>
        <w:tc>
          <w:tcPr>
            <w:tcW w:type="dxa" w:w="2592"/>
            <w:shd w:val="clear" w:color="auto" w:fill="EAEAEA"/>
          </w:tcPr>
          <w:p>
            <w:r>
              <w:rPr>
                <w:rFonts w:ascii="Arial" w:hAnsi="Arial"/>
                <w:color w:val="000000"/>
                <w:sz w:val="18"/>
              </w:rPr>
              <w:t>Hospital Medicine</w:t>
            </w:r>
          </w:p>
        </w:tc>
      </w:tr>
      <w:tr>
        <w:tc>
          <w:tcPr>
            <w:tcW w:type="dxa" w:w="2592"/>
            <w:shd w:val="clear" w:color="auto" w:fill="EAEAEA"/>
          </w:tcPr>
          <w:p>
            <w:r>
              <w:rPr>
                <w:rFonts w:ascii="Arial" w:hAnsi="Arial"/>
                <w:b/>
                <w:color w:val="595959"/>
                <w:sz w:val="16"/>
              </w:rPr>
              <w:t>Language</w:t>
            </w:r>
          </w:p>
        </w:tc>
        <w:tc>
          <w:tcPr>
            <w:tcW w:type="dxa" w:w="2592"/>
            <w:shd w:val="clear" w:color="auto" w:fill="EAEAEA"/>
          </w:tcPr>
          <w:p>
            <w:r>
              <w:rPr>
                <w:rFonts w:ascii="Arial" w:hAnsi="Arial"/>
                <w:color w:val="000000"/>
                <w:sz w:val="18"/>
              </w:rPr>
              <w:t>Spanish preferred (interpreter used)</w:t>
            </w:r>
          </w:p>
        </w:tc>
        <w:tc>
          <w:tcPr>
            <w:tcW w:type="dxa" w:w="2592"/>
            <w:shd w:val="clear" w:color="auto" w:fill="EAEAEA"/>
          </w:tcPr>
          <w:p>
            <w:r>
              <w:rPr>
                <w:rFonts w:ascii="Arial" w:hAnsi="Arial"/>
                <w:b/>
                <w:color w:val="595959"/>
                <w:sz w:val="16"/>
              </w:rPr>
              <w:t>Date of Service</w:t>
            </w:r>
          </w:p>
        </w:tc>
        <w:tc>
          <w:tcPr>
            <w:tcW w:type="dxa" w:w="2592"/>
            <w:shd w:val="clear" w:color="auto" w:fill="EAEAEA"/>
          </w:tcPr>
          <w:p>
            <w:r>
              <w:rPr>
                <w:rFonts w:ascii="Arial" w:hAnsi="Arial"/>
                <w:color w:val="000000"/>
                <w:sz w:val="18"/>
              </w:rPr>
              <w:t>05/17/2026</w:t>
            </w:r>
          </w:p>
        </w:tc>
      </w:tr>
    </w:tbl>
    <w:p/>
    <w:p>
      <w:r>
        <w:rPr>
          <w:rFonts w:ascii="Arial" w:hAnsi="Arial"/>
          <w:b/>
          <w:color w:val="000000"/>
          <w:sz w:val="24"/>
        </w:rPr>
        <w:t>PODIATRY OPERATIVE NOTE</w:t>
      </w:r>
    </w:p>
    <w:p>
      <w:r>
        <w:rPr>
          <w:rFonts w:ascii="Arial" w:hAnsi="Arial"/>
          <w:color w:val="595959"/>
          <w:sz w:val="17"/>
        </w:rPr>
        <w:t>Author: Priyanka Vell, DPM - Podiatric Surgery | Date of Service: 05/17/2026 1410 | Status: Signed</w:t>
      </w:r>
    </w:p>
    <w:p/>
    <w:p>
      <w:pPr>
        <w:pBdr>
          <w:bottom w:val="single" w:sz="4" w:space="1" w:color="BFBFBF"/>
        </w:pBdr>
      </w:pPr>
      <w:r>
        <w:rPr>
          <w:rFonts w:ascii="Arial" w:hAnsi="Arial"/>
          <w:b/>
          <w:color w:val="000000"/>
          <w:sz w:val="20"/>
        </w:rPr>
        <w:t>PROCEDURE</w:t>
      </w:r>
    </w:p>
    <w:p>
      <w:r>
        <w:rPr>
          <w:rFonts w:ascii="Arial" w:hAnsi="Arial"/>
          <w:color w:val="000000"/>
          <w:sz w:val="19"/>
        </w:rPr>
        <w:t>Bedside sharp debridement of left plantar forefoot diabetic ulcer with deep-tissue culture acquisition.</w:t>
      </w:r>
    </w:p>
    <w:p>
      <w:pPr>
        <w:pBdr>
          <w:bottom w:val="single" w:sz="4" w:space="1" w:color="BFBFBF"/>
        </w:pBdr>
      </w:pPr>
      <w:r>
        <w:rPr>
          <w:rFonts w:ascii="Arial" w:hAnsi="Arial"/>
          <w:b/>
          <w:color w:val="000000"/>
          <w:sz w:val="20"/>
        </w:rPr>
        <w:t>INDICATION</w:t>
      </w:r>
    </w:p>
    <w:p>
      <w:r>
        <w:rPr>
          <w:rFonts w:ascii="Arial" w:hAnsi="Arial"/>
          <w:color w:val="000000"/>
          <w:sz w:val="19"/>
        </w:rPr>
        <w:t>Limb-threatening diabetic foot infection with devitalized tissue and undrained purulence over the first to second metatarsal head.</w:t>
      </w:r>
    </w:p>
    <w:p>
      <w:pPr>
        <w:pBdr>
          <w:bottom w:val="single" w:sz="4" w:space="1" w:color="BFBFBF"/>
        </w:pBdr>
      </w:pPr>
      <w:r>
        <w:rPr>
          <w:rFonts w:ascii="Arial" w:hAnsi="Arial"/>
          <w:b/>
          <w:color w:val="000000"/>
          <w:sz w:val="20"/>
        </w:rPr>
        <w:t>FINDINGS</w:t>
      </w:r>
    </w:p>
    <w:p>
      <w:r>
        <w:rPr>
          <w:rFonts w:ascii="Arial" w:hAnsi="Arial"/>
          <w:color w:val="000000"/>
          <w:sz w:val="19"/>
        </w:rPr>
        <w:t>Plantar forefoot ulcer with surrounding cellulitis. After debridement of nonviable soft tissue and fibrinous slough, a granulating base was reached. No exposed bone and no bone palpable to probe at the wound base. No deep abscess tracking beyond the forefoot. Deep soft-tissue specimens were sent for culture and for pathology.</w:t>
      </w:r>
    </w:p>
    <w:p>
      <w:pPr>
        <w:pBdr>
          <w:bottom w:val="single" w:sz="4" w:space="1" w:color="BFBFBF"/>
        </w:pBdr>
      </w:pPr>
      <w:r>
        <w:rPr>
          <w:rFonts w:ascii="Arial" w:hAnsi="Arial"/>
          <w:b/>
          <w:color w:val="000000"/>
          <w:sz w:val="20"/>
        </w:rPr>
        <w:t>TECHNIQUE</w:t>
      </w:r>
    </w:p>
    <w:p>
      <w:r>
        <w:rPr>
          <w:rFonts w:ascii="Arial" w:hAnsi="Arial"/>
          <w:color w:val="000000"/>
          <w:sz w:val="19"/>
        </w:rPr>
        <w:t>After local preparation, nonviable tissue was sharply excised to viable bleeding margins. The wound was irrigated. Hemostasis was achieved. A moist dressing was applied with forefoot offloading.</w:t>
      </w:r>
    </w:p>
    <w:p>
      <w:pPr>
        <w:pBdr>
          <w:bottom w:val="single" w:sz="4" w:space="1" w:color="BFBFBF"/>
        </w:pBdr>
      </w:pPr>
      <w:r>
        <w:rPr>
          <w:rFonts w:ascii="Arial" w:hAnsi="Arial"/>
          <w:b/>
          <w:color w:val="000000"/>
          <w:sz w:val="20"/>
        </w:rPr>
        <w:t>SPECIMENS</w:t>
      </w:r>
    </w:p>
    <w:p>
      <w:pPr>
        <w:pStyle w:val="ListBullet"/>
      </w:pPr>
      <w:r>
        <w:rPr>
          <w:rFonts w:ascii="Arial" w:hAnsi="Arial"/>
          <w:color w:val="000000"/>
          <w:sz w:val="19"/>
        </w:rPr>
        <w:t>Deep soft tissue for aerobic and anaerobic culture</w:t>
      </w:r>
    </w:p>
    <w:p>
      <w:pPr>
        <w:pStyle w:val="ListBullet"/>
      </w:pPr>
      <w:r>
        <w:rPr>
          <w:rFonts w:ascii="Arial" w:hAnsi="Arial"/>
          <w:color w:val="000000"/>
          <w:sz w:val="19"/>
        </w:rPr>
        <w:t>Deep soft tissue for surgical pathology</w:t>
      </w:r>
    </w:p>
    <w:p>
      <w:pPr>
        <w:pBdr>
          <w:bottom w:val="single" w:sz="4" w:space="1" w:color="BFBFBF"/>
        </w:pBdr>
      </w:pPr>
      <w:r>
        <w:rPr>
          <w:rFonts w:ascii="Arial" w:hAnsi="Arial"/>
          <w:b/>
          <w:color w:val="000000"/>
          <w:sz w:val="20"/>
        </w:rPr>
        <w:t>POST-PROCEDURE PLAN</w:t>
      </w:r>
    </w:p>
    <w:p>
      <w:r>
        <w:rPr>
          <w:rFonts w:ascii="Arial" w:hAnsi="Arial"/>
          <w:color w:val="000000"/>
          <w:sz w:val="19"/>
        </w:rPr>
        <w:t>Continue empiric antibiotics pending cultures. Daily dressing changes, strict offloading of the left forefoot. Wound care nursing to follow. Findings discussed with the primary team. Osteomyelitis is not established at this time; correlate with imaging and pathology.</w:t>
      </w:r>
    </w:p>
    <w:p/>
    <w:p>
      <w:r>
        <w:rPr>
          <w:rFonts w:ascii="Arial" w:hAnsi="Arial"/>
          <w:i/>
          <w:color w:val="000000"/>
          <w:sz w:val="19"/>
        </w:rPr>
        <w:t>Electronically signed by Priyanka Vell, DPM on 05/17/2026 1440</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808080"/>
        <w:sz w:val="15"/>
      </w:rPr>
      <w:t>Korvin Merrow  |  MRN KM-6427819  |  DOB 02/18/1964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