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05/21/2026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HD1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05/21/2026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RENAL FUNCTION TREND (ADMISSION TO SNAPSHOT)</w:t>
      </w:r>
    </w:p>
    <w:p>
      <w:r>
        <w:rPr>
          <w:rFonts w:ascii="Arial" w:hAnsi="Arial"/>
          <w:color w:val="595959"/>
          <w:sz w:val="17"/>
        </w:rPr>
        <w:t>Author: Results Review | Date of Service: 05/21/2026 1730 | Status: Final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RENAL TREND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Date</w:t>
            </w:r>
          </w:p>
        </w:tc>
        <w:tc>
          <w:tcPr>
            <w:tcW w:type="dxa" w:w="207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Creatinine (mg/dL)</w:t>
            </w:r>
          </w:p>
        </w:tc>
        <w:tc>
          <w:tcPr>
            <w:tcW w:type="dxa" w:w="207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eGFR</w:t>
            </w:r>
          </w:p>
        </w:tc>
        <w:tc>
          <w:tcPr>
            <w:tcW w:type="dxa" w:w="207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BUN (mg/dL)</w:t>
            </w:r>
          </w:p>
        </w:tc>
        <w:tc>
          <w:tcPr>
            <w:tcW w:type="dxa" w:w="207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Potassium (mEq/L)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Baseline (outpatient)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1.5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38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24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4.4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05/16 HD1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2.1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26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38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4.6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05/17 HD2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1.9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29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34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4.5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05/19 HD4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1.7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34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29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4.2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05/21 HD6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1.6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36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26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color w:val="000000"/>
                <w:sz w:val="17"/>
              </w:rPr>
              <w:t>4.1</w:t>
            </w:r>
          </w:p>
        </w:tc>
      </w:tr>
    </w:tbl>
    <w:p/>
    <w:p>
      <w:r>
        <w:rPr>
          <w:rFonts w:ascii="Arial" w:hAnsi="Arial"/>
          <w:color w:val="000000"/>
          <w:sz w:val="19"/>
        </w:rPr>
        <w:t>Creatinine peaked at 2.1 on admission (acute kidney injury on chronic kidney disease) and has improved toward the baseline of 1.5. Renal dosing reflects the current value; restart timing for held agents is a clinical judgment.</w:t>
      </w:r>
    </w:p>
    <w:p/>
    <w:p>
      <w:r>
        <w:rPr>
          <w:rFonts w:ascii="Arial" w:hAnsi="Arial"/>
          <w:i/>
          <w:color w:val="000000"/>
          <w:sz w:val="19"/>
        </w:rPr>
        <w:t>Generated from results review on 05/21/2026 1730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