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05/20/2026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HD5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05/20/2026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WOUND CARE CONSULTATION</w:t>
      </w:r>
    </w:p>
    <w:p>
      <w:r>
        <w:rPr>
          <w:rFonts w:ascii="Arial" w:hAnsi="Arial"/>
          <w:color w:val="595959"/>
          <w:sz w:val="17"/>
        </w:rPr>
        <w:t>Author: Renata Olwyn, RN, CWOCN - Wound Care | Date of Service: 05/20/2026 1030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REASON FOR CONSULTATION</w:t>
      </w:r>
    </w:p>
    <w:p>
      <w:r>
        <w:rPr>
          <w:rFonts w:ascii="Arial" w:hAnsi="Arial"/>
          <w:color w:val="000000"/>
          <w:sz w:val="19"/>
        </w:rPr>
        <w:t>Wound assessment and skilled dressing plan for left diabetic forefoot ulcer post-debridement.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WOUND ASSESSMENT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Location: plantar left forefoot, first to second metatarsal head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Dimensions: 3.0 cm length by 2.2 cm width by 0.8 cm depth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Base: red granulation tissue, no exposed bone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Exudate: scant serous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Periwound: mild erythema, improving; intact surrounding skin with callus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Odor: none after debridement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PLAN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Daily moist wound dressing with technique as specified; skilled nursing-level dressing changes required.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Strict offloading of the left forefoot; coordinate device with therapy.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Monitor for increased drainage, odor, or periwound spread.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Reassess wound dimensions twice weekly.</w:t>
      </w:r>
    </w:p>
    <w:p>
      <w:r>
        <w:rPr>
          <w:rFonts w:ascii="Arial" w:hAnsi="Arial"/>
          <w:color w:val="000000"/>
          <w:sz w:val="19"/>
        </w:rPr>
        <w:t>Note: this wound currently requires skilled dressing changes that exceed routine self-care; frequency and technique are documented for the care team.</w:t>
      </w:r>
    </w:p>
    <w:p/>
    <w:p>
      <w:r>
        <w:rPr>
          <w:rFonts w:ascii="Arial" w:hAnsi="Arial"/>
          <w:i/>
          <w:color w:val="000000"/>
          <w:sz w:val="19"/>
        </w:rPr>
        <w:t>Electronically signed by Renata Olwyn, RN, CWOCN on 05/20/2026 1105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