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F3A5F"/>
          <w:sz w:val="26"/>
        </w:rPr>
        <w:t>Harbor Crest Regional Medical Center</w:t>
      </w:r>
    </w:p>
    <w:p>
      <w:pPr>
        <w:spacing w:after="40" w:before="0"/>
      </w:pPr>
      <w:r>
        <w:rPr>
          <w:rFonts w:ascii="Calibri" w:hAnsi="Calibri"/>
          <w:b/>
          <w:color w:val="1F3A5F"/>
          <w:sz w:val="20"/>
        </w:rPr>
        <w:t>Utilization Review / Care Management</w:t>
      </w:r>
    </w:p>
    <w:p>
      <w:pPr>
        <w:spacing w:after="120" w:before="0"/>
      </w:pPr>
      <w:r>
        <w:rPr>
          <w:rFonts w:ascii="Calibri" w:hAnsi="Calibri"/>
          <w:b w:val="0"/>
          <w:color w:val="808080"/>
          <w:sz w:val="16"/>
        </w:rPr>
        <w:t>Confidential</w:t>
      </w:r>
    </w:p>
    <w:p>
      <w:pPr>
        <w:spacing w:after="40" w:before="0"/>
      </w:pPr>
      <w:r>
        <w:rPr>
          <w:rFonts w:ascii="Calibri" w:hAnsi="Calibri"/>
          <w:b/>
          <w:sz w:val="20"/>
        </w:rPr>
        <w:t>Ondina Vasquell    68 y  |  Female  |  DOB 03/14/1958</w:t>
      </w:r>
    </w:p>
    <w:p>
      <w:pPr>
        <w:spacing w:after="40" w:before="0"/>
      </w:pPr>
      <w:r>
        <w:rPr>
          <w:rFonts w:ascii="Calibri" w:hAnsi="Calibri"/>
          <w:b w:val="0"/>
          <w:color w:val="555555"/>
          <w:sz w:val="18"/>
        </w:rPr>
        <w:t>MRN OV-3358104</w:t>
      </w:r>
    </w:p>
    <w:p>
      <w:pPr>
        <w:spacing w:after="40" w:before="0"/>
      </w:pPr>
      <w:r>
        <w:rPr>
          <w:rFonts w:ascii="Calibri" w:hAnsi="Calibri"/>
          <w:b w:val="0"/>
          <w:color w:val="555555"/>
          <w:sz w:val="18"/>
        </w:rPr>
        <w:t>Date of Service 05/22/2026</w:t>
      </w:r>
    </w:p>
    <w:p>
      <w:pPr>
        <w:spacing w:after="40" w:before="0"/>
      </w:pPr>
      <w:r>
        <w:rPr>
          <w:rFonts w:ascii="Calibri" w:hAnsi="Calibri"/>
          <w:b w:val="0"/>
          <w:color w:val="555555"/>
          <w:sz w:val="18"/>
        </w:rPr>
        <w:t>Author Utilization Review</w:t>
      </w:r>
    </w:p>
    <w:p>
      <w:pPr>
        <w:spacing w:after="40" w:before="0"/>
      </w:pPr>
      <w:r>
        <w:rPr>
          <w:rFonts w:ascii="Calibri" w:hAnsi="Calibri"/>
          <w:b w:val="0"/>
          <w:color w:val="555555"/>
          <w:sz w:val="18"/>
        </w:rPr>
        <w:t>Allergies Sulfa (sulfonamide antibiotics) - rash</w:t>
      </w:r>
    </w:p>
    <w:p>
      <w:pPr>
        <w:spacing w:after="160" w:before="0"/>
      </w:pPr>
      <w:r>
        <w:rPr>
          <w:rFonts w:ascii="Calibri" w:hAnsi="Calibri"/>
          <w:b w:val="0"/>
          <w:color w:val="555555"/>
          <w:sz w:val="18"/>
        </w:rPr>
        <w:t>Document CONCURRENT STAY REVIEW</w:t>
      </w:r>
    </w:p>
    <w:p>
      <w:pPr>
        <w:spacing w:after="40" w:before="0"/>
      </w:pPr>
      <w:r>
        <w:rPr>
          <w:rFonts w:ascii="Calibri" w:hAnsi="Calibri"/>
          <w:b/>
          <w:sz w:val="24"/>
        </w:rPr>
        <w:t>CONCURRENT STAY REVIEW - Continued-Stay and Discharge Readiness</w:t>
      </w:r>
    </w:p>
    <w:p>
      <w:pPr>
        <w:spacing w:after="160" w:before="0"/>
      </w:pPr>
      <w:r>
        <w:rPr>
          <w:rFonts w:ascii="Calibri" w:hAnsi="Calibri"/>
          <w:b w:val="0"/>
          <w:color w:val="555555"/>
          <w:sz w:val="18"/>
        </w:rPr>
        <w:t>Author: M. Olarte, RN - Utilization Review | Date of Service: 05/22/2026 0900 | Status: Draft for UR finalization</w:t>
      </w:r>
    </w:p>
    <w:p>
      <w:pPr>
        <w:spacing w:after="40" w:before="0"/>
      </w:pPr>
      <w:r>
        <w:rPr>
          <w:rFonts w:ascii="Calibri" w:hAnsi="Calibri"/>
          <w:b/>
          <w:sz w:val="20"/>
        </w:rPr>
        <w:t>PATIENT / ENCOUNTER</w:t>
      </w:r>
    </w:p>
    <w:p>
      <w:pPr>
        <w:spacing w:after="20" w:before="0"/>
      </w:pPr>
      <w:r>
        <w:rPr>
          <w:rFonts w:ascii="Calibri" w:hAnsi="Calibri"/>
          <w:b/>
          <w:sz w:val="18"/>
        </w:rPr>
        <w:t xml:space="preserve">Patient: </w:t>
      </w:r>
      <w:r>
        <w:rPr>
          <w:rFonts w:ascii="Calibri" w:hAnsi="Calibri"/>
          <w:b w:val="0"/>
          <w:sz w:val="18"/>
        </w:rPr>
        <w:t>Ondina Vasquell, 68 y</w:t>
      </w:r>
    </w:p>
    <w:p>
      <w:pPr>
        <w:spacing w:after="20" w:before="0"/>
      </w:pPr>
      <w:r>
        <w:rPr>
          <w:rFonts w:ascii="Calibri" w:hAnsi="Calibri"/>
          <w:b/>
          <w:sz w:val="18"/>
        </w:rPr>
        <w:t xml:space="preserve">Sex / DOB: </w:t>
      </w:r>
      <w:r>
        <w:rPr>
          <w:rFonts w:ascii="Calibri" w:hAnsi="Calibri"/>
          <w:b w:val="0"/>
          <w:sz w:val="18"/>
        </w:rPr>
        <w:t>Female / 03/14/1958</w:t>
      </w:r>
    </w:p>
    <w:p>
      <w:pPr>
        <w:spacing w:after="20" w:before="0"/>
      </w:pPr>
      <w:r>
        <w:rPr>
          <w:rFonts w:ascii="Calibri" w:hAnsi="Calibri"/>
          <w:b/>
          <w:sz w:val="18"/>
        </w:rPr>
        <w:t xml:space="preserve">MRN / FIN: </w:t>
      </w:r>
      <w:r>
        <w:rPr>
          <w:rFonts w:ascii="Calibri" w:hAnsi="Calibri"/>
          <w:b w:val="0"/>
          <w:sz w:val="18"/>
        </w:rPr>
        <w:t>OV-3358104 / FIN-2207733</w:t>
      </w:r>
    </w:p>
    <w:p>
      <w:pPr>
        <w:spacing w:after="20" w:before="0"/>
      </w:pPr>
      <w:r>
        <w:rPr>
          <w:rFonts w:ascii="Calibri" w:hAnsi="Calibri"/>
          <w:b/>
          <w:sz w:val="18"/>
        </w:rPr>
        <w:t xml:space="preserve">Unit / Room: </w:t>
      </w:r>
      <w:r>
        <w:rPr>
          <w:rFonts w:ascii="Calibri" w:hAnsi="Calibri"/>
          <w:b w:val="0"/>
          <w:sz w:val="18"/>
        </w:rPr>
        <w:t>6 South Medicine / 6S-214</w:t>
      </w:r>
    </w:p>
    <w:p>
      <w:pPr>
        <w:spacing w:after="20" w:before="0"/>
      </w:pPr>
      <w:r>
        <w:rPr>
          <w:rFonts w:ascii="Calibri" w:hAnsi="Calibri"/>
          <w:b/>
          <w:sz w:val="18"/>
        </w:rPr>
        <w:t xml:space="preserve">Code Status: </w:t>
      </w:r>
      <w:r>
        <w:rPr>
          <w:rFonts w:ascii="Calibri" w:hAnsi="Calibri"/>
          <w:b w:val="0"/>
          <w:sz w:val="18"/>
        </w:rPr>
        <w:t>Full Code</w:t>
      </w:r>
    </w:p>
    <w:p>
      <w:pPr>
        <w:spacing w:after="20" w:before="0"/>
      </w:pPr>
      <w:r>
        <w:rPr>
          <w:rFonts w:ascii="Calibri" w:hAnsi="Calibri"/>
          <w:b/>
          <w:sz w:val="18"/>
        </w:rPr>
        <w:t xml:space="preserve">Allergies: </w:t>
      </w:r>
      <w:r>
        <w:rPr>
          <w:rFonts w:ascii="Calibri" w:hAnsi="Calibri"/>
          <w:b w:val="0"/>
          <w:sz w:val="18"/>
        </w:rPr>
        <w:t>Sulfa (sulfonamide antibiotics) - rash</w:t>
      </w:r>
    </w:p>
    <w:p>
      <w:pPr>
        <w:spacing w:after="20" w:before="0"/>
      </w:pPr>
      <w:r>
        <w:rPr>
          <w:rFonts w:ascii="Calibri" w:hAnsi="Calibri"/>
          <w:b/>
          <w:sz w:val="18"/>
        </w:rPr>
        <w:t xml:space="preserve">Attending: </w:t>
      </w:r>
      <w:r>
        <w:rPr>
          <w:rFonts w:ascii="Calibri" w:hAnsi="Calibri"/>
          <w:b w:val="0"/>
          <w:sz w:val="18"/>
        </w:rPr>
        <w:t>Lillian Everet, MD</w:t>
      </w:r>
    </w:p>
    <w:p>
      <w:pPr>
        <w:spacing w:after="20" w:before="0"/>
      </w:pPr>
      <w:r>
        <w:rPr>
          <w:rFonts w:ascii="Calibri" w:hAnsi="Calibri"/>
          <w:b/>
          <w:sz w:val="18"/>
        </w:rPr>
        <w:t xml:space="preserve">Service: </w:t>
      </w:r>
      <w:r>
        <w:rPr>
          <w:rFonts w:ascii="Calibri" w:hAnsi="Calibri"/>
          <w:b w:val="0"/>
          <w:sz w:val="18"/>
        </w:rPr>
        <w:t>Hospital Medicine</w:t>
      </w:r>
    </w:p>
    <w:p>
      <w:pPr>
        <w:spacing w:after="20" w:before="0"/>
      </w:pPr>
      <w:r>
        <w:rPr>
          <w:rFonts w:ascii="Calibri" w:hAnsi="Calibri"/>
          <w:b/>
          <w:sz w:val="18"/>
        </w:rPr>
        <w:t xml:space="preserve">Admission: </w:t>
      </w:r>
      <w:r>
        <w:rPr>
          <w:rFonts w:ascii="Calibri" w:hAnsi="Calibri"/>
          <w:b w:val="0"/>
          <w:sz w:val="18"/>
        </w:rPr>
        <w:t>05/16/2026 | Hospital Day 7</w:t>
      </w:r>
    </w:p>
    <w:p>
      <w:pPr>
        <w:spacing w:after="20" w:before="0"/>
      </w:pPr>
      <w:r>
        <w:rPr>
          <w:rFonts w:ascii="Calibri" w:hAnsi="Calibri"/>
          <w:b/>
          <w:sz w:val="18"/>
        </w:rPr>
        <w:t xml:space="preserve">Level of Care: </w:t>
      </w:r>
      <w:r>
        <w:rPr>
          <w:rFonts w:ascii="Calibri" w:hAnsi="Calibri"/>
          <w:b w:val="0"/>
          <w:sz w:val="18"/>
        </w:rPr>
        <w:t>Acute inpatient</w:t>
      </w:r>
    </w:p>
    <w:p>
      <w:pPr>
        <w:spacing w:after="20" w:before="0"/>
      </w:pPr>
      <w:r>
        <w:rPr>
          <w:rFonts w:ascii="Calibri" w:hAnsi="Calibri"/>
          <w:b/>
          <w:sz w:val="18"/>
        </w:rPr>
        <w:t xml:space="preserve">Payer: </w:t>
      </w:r>
      <w:r>
        <w:rPr>
          <w:rFonts w:ascii="Calibri" w:hAnsi="Calibri"/>
          <w:b w:val="0"/>
          <w:sz w:val="18"/>
        </w:rPr>
        <w:t>Medicare Advantage (primary), Medicaid (secondary)</w:t>
      </w:r>
    </w:p>
    <w:p>
      <w:pPr>
        <w:spacing w:after="20" w:before="0"/>
      </w:pPr>
      <w:r>
        <w:rPr>
          <w:rFonts w:ascii="Calibri" w:hAnsi="Calibri"/>
          <w:b/>
          <w:sz w:val="18"/>
        </w:rPr>
        <w:t xml:space="preserve">Language: </w:t>
      </w:r>
      <w:r>
        <w:rPr>
          <w:rFonts w:ascii="Calibri" w:hAnsi="Calibri"/>
          <w:b w:val="0"/>
          <w:sz w:val="18"/>
        </w:rPr>
        <w:t>Spanish preferred (interpreter used)</w:t>
      </w:r>
    </w:p>
    <w:p>
      <w:pPr>
        <w:spacing w:after="40"/>
      </w:pPr>
    </w:p>
    <w:p>
      <w:pPr>
        <w:spacing w:after="40" w:before="0"/>
      </w:pPr>
      <w:r>
        <w:rPr>
          <w:rFonts w:ascii="Calibri" w:hAnsi="Calibri"/>
          <w:b/>
          <w:sz w:val="20"/>
        </w:rPr>
        <w:t>REASON FOR REVIEW</w:t>
      </w:r>
    </w:p>
    <w:p>
      <w:pPr>
        <w:spacing w:after="120" w:before="0"/>
      </w:pPr>
      <w:r>
        <w:rPr>
          <w:rFonts w:ascii="Calibri" w:hAnsi="Calibri"/>
          <w:b w:val="0"/>
          <w:sz w:val="20"/>
        </w:rPr>
        <w:t>Concurrent utilization review of continued inpatient stay for a treated limb-threatening left diabetic foot infection. This review supports the payer continued-stay determination and discharge planning.</w:t>
      </w:r>
    </w:p>
    <w:p>
      <w:pPr>
        <w:spacing w:after="40" w:before="0"/>
      </w:pPr>
      <w:r>
        <w:rPr>
          <w:rFonts w:ascii="Calibri" w:hAnsi="Calibri"/>
          <w:b/>
          <w:sz w:val="20"/>
        </w:rPr>
        <w:t>INTERVAL SUMMARY (HD6 to HD7)</w:t>
      </w:r>
    </w:p>
    <w:p>
      <w:pPr>
        <w:spacing w:after="120" w:before="0"/>
      </w:pPr>
      <w:r>
        <w:rPr>
          <w:rFonts w:ascii="Calibri" w:hAnsi="Calibri"/>
          <w:b w:val="0"/>
          <w:sz w:val="20"/>
        </w:rPr>
        <w:t>Continued clinical improvement. Afebrile and hemodynamically stable. WBC normalized at 8.9. Soft-tissue infection improving on culture-directed, renally dosed therapy. Surgical pathology 05/20 excluded osteomyelitis (no bone in the specimen, no definitive features of osteomyelitis). Left forefoot wound granulating with scant drainage. Creatinine 1.6, near baseline 1.5. Patient feeling better and asking to go home.</w:t>
      </w:r>
    </w:p>
    <w:p>
      <w:pPr>
        <w:spacing w:after="40" w:before="0"/>
      </w:pPr>
      <w:r>
        <w:rPr>
          <w:rFonts w:ascii="Calibri" w:hAnsi="Calibri"/>
          <w:b/>
          <w:sz w:val="20"/>
        </w:rPr>
        <w:t>CRITERIA AND DISPOSITION TABLE</w:t>
      </w:r>
    </w:p>
    <w:tbl>
      <w:tblPr>
        <w:tblStyle w:val="TableGrid"/>
        <w:tblW w:type="auto" w:w="0"/>
        <w:tblLook w:firstColumn="1" w:firstRow="1" w:lastColumn="0" w:lastRow="0" w:noHBand="0" w:noVBand="1" w:val="04A0"/>
      </w:tblPr>
      <w:tblGrid>
        <w:gridCol w:w="4320"/>
        <w:gridCol w:w="4320"/>
      </w:tblGrid>
      <w:tr>
        <w:tc>
          <w:tcPr>
            <w:tcW w:type="dxa" w:w="3000"/>
          </w:tcPr>
          <w:p>
            <w:pPr>
              <w:spacing w:after="20"/>
            </w:pPr>
            <w:r>
              <w:rPr>
                <w:rFonts w:ascii="Calibri" w:hAnsi="Calibri"/>
                <w:b/>
                <w:sz w:val="18"/>
              </w:rPr>
              <w:t>Item</w:t>
            </w:r>
          </w:p>
        </w:tc>
        <w:tc>
          <w:tcPr>
            <w:tcW w:type="dxa" w:w="7200"/>
          </w:tcPr>
          <w:p>
            <w:pPr>
              <w:spacing w:after="20"/>
            </w:pPr>
            <w:r>
              <w:rPr>
                <w:rFonts w:ascii="Calibri" w:hAnsi="Calibri"/>
                <w:b/>
                <w:sz w:val="18"/>
              </w:rPr>
              <w:t>Status</w:t>
            </w:r>
          </w:p>
        </w:tc>
      </w:tr>
      <w:tr>
        <w:tc>
          <w:tcPr>
            <w:tcW w:type="dxa" w:w="3000"/>
          </w:tcPr>
          <w:p>
            <w:pPr>
              <w:spacing w:after="20"/>
            </w:pPr>
            <w:r>
              <w:rPr>
                <w:rFonts w:ascii="Calibri" w:hAnsi="Calibri"/>
                <w:b/>
                <w:sz w:val="18"/>
              </w:rPr>
              <w:t>Infection / source control</w:t>
            </w:r>
          </w:p>
        </w:tc>
        <w:tc>
          <w:tcPr>
            <w:tcW w:type="dxa" w:w="7200"/>
          </w:tcPr>
          <w:p>
            <w:pPr>
              <w:spacing w:after="20"/>
            </w:pPr>
            <w:r>
              <w:rPr>
                <w:rFonts w:ascii="Calibri" w:hAnsi="Calibri"/>
                <w:b w:val="0"/>
                <w:sz w:val="18"/>
              </w:rPr>
              <w:t>Improving. Debrided HD2, granulating base, osteomyelitis excluded on pathology 05/20. Afebrile, WBC normalized.</w:t>
            </w:r>
          </w:p>
        </w:tc>
      </w:tr>
      <w:tr>
        <w:tc>
          <w:tcPr>
            <w:tcW w:type="dxa" w:w="3000"/>
          </w:tcPr>
          <w:p>
            <w:pPr>
              <w:spacing w:after="20"/>
            </w:pPr>
            <w:r>
              <w:rPr>
                <w:rFonts w:ascii="Calibri" w:hAnsi="Calibri"/>
                <w:b/>
                <w:sz w:val="18"/>
              </w:rPr>
              <w:t>Antibiotics</w:t>
            </w:r>
          </w:p>
        </w:tc>
        <w:tc>
          <w:tcPr>
            <w:tcW w:type="dxa" w:w="7200"/>
          </w:tcPr>
          <w:p>
            <w:pPr>
              <w:spacing w:after="20"/>
            </w:pPr>
            <w:r>
              <w:rPr>
                <w:rFonts w:ascii="Calibri" w:hAnsi="Calibri"/>
                <w:b w:val="0"/>
                <w:sz w:val="18"/>
              </w:rPr>
              <w:t>Vancomycin, piperacillin-tazobactam, and cefepime, culture-directed and renally dosed, clinically improving. Continue.</w:t>
            </w:r>
          </w:p>
        </w:tc>
      </w:tr>
      <w:tr>
        <w:tc>
          <w:tcPr>
            <w:tcW w:type="dxa" w:w="3000"/>
          </w:tcPr>
          <w:p>
            <w:pPr>
              <w:spacing w:after="20"/>
            </w:pPr>
            <w:r>
              <w:rPr>
                <w:rFonts w:ascii="Calibri" w:hAnsi="Calibri"/>
                <w:b/>
                <w:sz w:val="18"/>
              </w:rPr>
              <w:t>Perfusion</w:t>
            </w:r>
          </w:p>
        </w:tc>
        <w:tc>
          <w:tcPr>
            <w:tcW w:type="dxa" w:w="7200"/>
          </w:tcPr>
          <w:p>
            <w:pPr>
              <w:spacing w:after="20"/>
            </w:pPr>
            <w:r>
              <w:rPr>
                <w:rFonts w:ascii="Calibri" w:hAnsi="Calibri"/>
                <w:b w:val="0"/>
                <w:sz w:val="18"/>
              </w:rPr>
              <w:t>Vascular question deferred to outpatient. Outpatient vascular follow-up being arranged; manageable after discharge.</w:t>
            </w:r>
          </w:p>
        </w:tc>
      </w:tr>
      <w:tr>
        <w:tc>
          <w:tcPr>
            <w:tcW w:type="dxa" w:w="3000"/>
          </w:tcPr>
          <w:p>
            <w:pPr>
              <w:spacing w:after="20"/>
            </w:pPr>
            <w:r>
              <w:rPr>
                <w:rFonts w:ascii="Calibri" w:hAnsi="Calibri"/>
                <w:b/>
                <w:sz w:val="18"/>
              </w:rPr>
              <w:t>Renal (AKI on CKD)</w:t>
            </w:r>
          </w:p>
        </w:tc>
        <w:tc>
          <w:tcPr>
            <w:tcW w:type="dxa" w:w="7200"/>
          </w:tcPr>
          <w:p>
            <w:pPr>
              <w:spacing w:after="20"/>
            </w:pPr>
            <w:r>
              <w:rPr>
                <w:rFonts w:ascii="Calibri" w:hAnsi="Calibri"/>
                <w:b w:val="0"/>
                <w:sz w:val="18"/>
              </w:rPr>
              <w:t>Improving and stable. Creatinine 1.6, near baseline 1.5. Held home agents to be addressed at discharge per renal recovery.</w:t>
            </w:r>
          </w:p>
        </w:tc>
      </w:tr>
      <w:tr>
        <w:tc>
          <w:tcPr>
            <w:tcW w:type="dxa" w:w="3000"/>
          </w:tcPr>
          <w:p>
            <w:pPr>
              <w:spacing w:after="20"/>
            </w:pPr>
            <w:r>
              <w:rPr>
                <w:rFonts w:ascii="Calibri" w:hAnsi="Calibri"/>
                <w:b/>
                <w:sz w:val="18"/>
              </w:rPr>
              <w:t>Offloading / mobility</w:t>
            </w:r>
          </w:p>
        </w:tc>
        <w:tc>
          <w:tcPr>
            <w:tcW w:type="dxa" w:w="7200"/>
          </w:tcPr>
          <w:p>
            <w:pPr>
              <w:spacing w:after="20"/>
            </w:pPr>
            <w:r>
              <w:rPr>
                <w:rFonts w:ascii="Calibri" w:hAnsi="Calibri"/>
                <w:b w:val="0"/>
                <w:sz w:val="18"/>
              </w:rPr>
              <w:t>Discharge planning in progress. Offloading device ordered; PT working toward stair clearance.</w:t>
            </w:r>
          </w:p>
        </w:tc>
      </w:tr>
      <w:tr>
        <w:tc>
          <w:tcPr>
            <w:tcW w:type="dxa" w:w="3000"/>
          </w:tcPr>
          <w:p>
            <w:pPr>
              <w:spacing w:after="20"/>
            </w:pPr>
            <w:r>
              <w:rPr>
                <w:rFonts w:ascii="Calibri" w:hAnsi="Calibri"/>
                <w:b/>
                <w:sz w:val="18"/>
              </w:rPr>
              <w:t>Home support</w:t>
            </w:r>
          </w:p>
        </w:tc>
        <w:tc>
          <w:tcPr>
            <w:tcW w:type="dxa" w:w="7200"/>
          </w:tcPr>
          <w:p>
            <w:pPr>
              <w:spacing w:after="20"/>
            </w:pPr>
            <w:r>
              <w:rPr>
                <w:rFonts w:ascii="Calibri" w:hAnsi="Calibri"/>
                <w:b w:val="0"/>
                <w:sz w:val="18"/>
              </w:rPr>
              <w:t>Discharge planning in progress. Home-health wound nursing referral placed; caregiver teaching underway with case management and interpreter.</w:t>
            </w:r>
          </w:p>
        </w:tc>
      </w:tr>
      <w:tr>
        <w:tc>
          <w:tcPr>
            <w:tcW w:type="dxa" w:w="3000"/>
          </w:tcPr>
          <w:p>
            <w:pPr>
              <w:spacing w:after="20"/>
            </w:pPr>
            <w:r>
              <w:rPr>
                <w:rFonts w:ascii="Calibri" w:hAnsi="Calibri"/>
                <w:b/>
                <w:sz w:val="18"/>
              </w:rPr>
              <w:t>Follow-up</w:t>
            </w:r>
          </w:p>
        </w:tc>
        <w:tc>
          <w:tcPr>
            <w:tcW w:type="dxa" w:w="7200"/>
          </w:tcPr>
          <w:p>
            <w:pPr>
              <w:spacing w:after="20"/>
            </w:pPr>
            <w:r>
              <w:rPr>
                <w:rFonts w:ascii="Calibri" w:hAnsi="Calibri"/>
                <w:b w:val="0"/>
                <w:sz w:val="18"/>
              </w:rPr>
              <w:t>Outpatient vascular, wound care, and primary care to be arranged at discharge.</w:t>
            </w:r>
          </w:p>
        </w:tc>
      </w:tr>
    </w:tbl>
    <w:p>
      <w:pPr>
        <w:spacing w:after="40"/>
      </w:pPr>
    </w:p>
    <w:p>
      <w:pPr>
        <w:spacing w:after="40" w:before="0"/>
      </w:pPr>
      <w:r>
        <w:rPr>
          <w:rFonts w:ascii="Calibri" w:hAnsi="Calibri"/>
          <w:b/>
          <w:sz w:val="20"/>
        </w:rPr>
        <w:t>ASSESSMENT</w:t>
      </w:r>
    </w:p>
    <w:p>
      <w:pPr>
        <w:spacing w:after="120" w:before="0"/>
      </w:pPr>
      <w:r>
        <w:rPr>
          <w:rFonts w:ascii="Calibri" w:hAnsi="Calibri"/>
          <w:b w:val="0"/>
          <w:sz w:val="20"/>
        </w:rPr>
        <w:t>Patient is clinically improved and stable. The acute infection is responding, osteomyelitis is excluded, and renal function is near baseline. Remaining items are discharge-planning logistics being worked by case management. Acute medical drivers are resolving and the patient is progressing toward discharge home.</w:t>
      </w:r>
    </w:p>
    <w:p>
      <w:pPr>
        <w:spacing w:after="40" w:before="0"/>
      </w:pPr>
      <w:r>
        <w:rPr>
          <w:rFonts w:ascii="Calibri" w:hAnsi="Calibri"/>
          <w:b/>
          <w:sz w:val="20"/>
        </w:rPr>
        <w:t>DISPOSITION (DRAFT)</w:t>
      </w:r>
    </w:p>
    <w:p>
      <w:pPr>
        <w:spacing w:after="120" w:before="0"/>
      </w:pPr>
      <w:r>
        <w:rPr>
          <w:rFonts w:ascii="Calibri" w:hAnsi="Calibri"/>
          <w:b w:val="0"/>
          <w:sz w:val="20"/>
        </w:rPr>
        <w:t>Anticipate discharge home with home-health wound nursing for dressing changes and outpatient follow-up, pending completion of home-health setup. Continued acute inpatient stay justified only for the short interval needed to finalize the home plan.</w:t>
      </w:r>
    </w:p>
    <w:p>
      <w:pPr>
        <w:spacing w:after="120" w:before="0"/>
      </w:pPr>
      <w:r>
        <w:rPr>
          <w:rFonts w:ascii="Calibri" w:hAnsi="Calibri"/>
          <w:b w:val="0"/>
          <w:sz w:val="20"/>
        </w:rPr>
        <w:t>[Status: Draft for UR finalization.]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