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Hospital Medicine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05/24/2026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Lillian Everet, MD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TRANSITION OF CARE NOTE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TRANSITION OF CARE NOTE (PHYSICIAN COMPLETION)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Lillian Everet, MD - Hospital Medicine | Date of Service: 05/24/2026 | Status: Completed for physician signature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05/24/2026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REASON FOR TRANSFER</w:t>
      </w:r>
    </w:p>
    <w:p>
      <w:r>
        <w:rPr>
          <w:rFonts w:ascii="Arial" w:hAnsi="Arial"/>
          <w:b w:val="0"/>
          <w:i w:val="0"/>
          <w:color w:val="232830"/>
          <w:sz w:val="19"/>
        </w:rPr>
        <w:t>Transfer to a skilled nursing facility for continued skilled wound care, intravenous antibiotic therapy, and rehabilitation after a limb-threatening left diabetic foot infection. The patient is clinically improved but not safe to return to an unsupported second-floor walk-up; her daughter, the primary caregiver, works night shifts. Care was coordinated with the patient and daughter through a Spanish interpreter.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ACTIVE PROBLEMS AND PLAN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Limb-threatening left diabetic foot infection, improving after the 05/17 bedside debridement. Deep-tissue culture grew methicillin-susceptible Staphylococcus aureus and Streptococcus agalactiae; osteomyelitis not established. Afebrile, white blood cell count normalized to 8.9, C-reactive protein down to 41. On culture-directed renally dosed intravenous cefepime; skilled daily dressings and strict left-forefoot offloading.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Peripheral arterial disease with reduced left distal perfusion (toe-brachial index 0.50, toe pressure 55 mmHg). Outpatient vascular follow-up; perfusion adequacy for healing remains an open question.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Acute kidney injury on chronic kidney disease stage 3b, improving. Creatinine 1.6 near baseline 1.5, eGFR 36, potassium 4.1. All agents renally dosed; avoid nephrotoxins and intravenous contrast.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Type 2 diabetes mellitus, insulin-treated (last A1c 8.6 percent). Basal insulin glargine adjusted to intake plus prandial insulin aspart sliding scale. Oral agents held during the acute illness and renal injury.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Anemia of chronic kidney disease, hemoglobin stable near 9.8 on home ferrous sulfate; remains an open item, monitor.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Heart failure with preserved ejection fraction, euvolemic. Continue furosemide and monitor volume.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Obstructive sleep apnea: continues on home CPAP. This admission did not include a sleep-medicine review, CPAP titration, or documented adherence verification, so OSA control is not established this stay. Continue home CPAP at the facility and arrange outpatient sleep-medicine follow-up to verify settings and adherence; do not document OSA as reviewed or controlled this admission.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MEDICATIONS AND IV ACCESS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Intravenous access maintained for antibiotic therapy; confirm line type and patency on arrival.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Cefepime intravenous, renally dosed, culture-directed for the soft-tissue infection; total duration and any oral step-down to be set by Infectious Disease. Allergy: sulfa; do not use trimethoprim-sulfamethoxazole despite in-vitro susceptibility.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Continue insulin glargine and prandial aspart sliding scale, furosemide, atorvastatin, aspirin, clopidogrel, gabapentin (renally reviewed), ferrous sulfate, cholecalciferol, pantoprazole, acetaminophen as needed (no NSAIDs given chronic kidney disease).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Held home agents (deliberate, not omissions): metformin, empagliflozin, and lisinopril, held since 05/16 for the acute kidney injury and illness; restart is parameter-gated and reassessed by primary care against renal recovery.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CARE NEEDS AT THE FACILITY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Skilled daily wound dressing to the left plantar forefoot; strict offloading at all times.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Continue intravenous antibiotics; renal dosing per current function; monitor renal function and potassium.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Basal-bolus insulin with point-of-care glucose monitoring; continue nightly home CPAP.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Physical and occupational therapy; fall precautions; Spanish interpreter for all care and teaching.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FOLLOW-UP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Infectious Disease: finalize antibiotic duration and any oral step-down (TMP-SMX excluded).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Vascular surgery (outpatient): repeat perfusion assessment of the left lower extremity.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Podiatry and wound care: ongoing debridement and offloading management.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Primary care and renal: reassess restart of the held agents against renal recovery; monitor anemia of chronic kidney disease.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Endocrinology and ophthalmology: diabetes follow-up; annual dilated eye examination (mild non-proliferative retinopathy on 03/15/2026).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Sleep medicine (outpatient): verify CPAP settings and adherence; OSA control was not established this admission.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FLAGS FOR PHYSICIAN BEFORE SIGN</w:t>
      </w:r>
    </w:p>
    <w:p>
      <w:r>
        <w:rPr>
          <w:rFonts w:ascii="Arial" w:hAnsi="Arial"/>
          <w:b w:val="0"/>
          <w:i w:val="0"/>
          <w:color w:val="232830"/>
          <w:sz w:val="19"/>
        </w:rPr>
        <w:t>The started draft asserted that home CPAP was reviewed and adherence verified this admission with obstructive sleep apnea controlled; the record does not support that (no inpatient sleep study, titration, or adherence documentation). Corrected to keep obstructive sleep apnea management open with outpatient sleep-medicine follow-up before signature.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Lillian Everet, MD on 05/24/2026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TRANSITION OF CARE NOTE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TRANSITION OF CARE NOTE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TRANSITION OF CARE NOTE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