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TRANSITION OF CARE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TRANSITION OF CARE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rounds; please complete the remaining sections from the chart for Mrs. Vasquell's transfer to skilled nursing today, then this note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TRANSFER</w:t>
      </w:r>
    </w:p>
    <w:p>
      <w:r>
        <w:rPr>
          <w:rFonts w:ascii="Arial" w:hAnsi="Arial"/>
          <w:b w:val="0"/>
          <w:i w:val="0"/>
          <w:color w:val="232830"/>
          <w:sz w:val="19"/>
        </w:rPr>
        <w:t>Transfer to a skilled nursing facility for continued skilled wound care, intravenous antibiotic therapy, and rehabilitation after a limb-threatening left diabetic foot infection. The patient is clinically improved but not safe to return to an unsupported second-floor walk-up; her daughter, the primary caregiver, works night shifts. Care was coordinated with the patient and daughter through a Spanish interpreter.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PROBLEMS AND 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Limb-threatening left diabetic foot infection, improving after the 05/17 bedside debridement. Deep-tissue culture grew methicillin-susceptible Staphylococcus aureus and Streptococcus agalactiae; osteomyelitis not established. Afebrile, white blood cell count normalized to 8.9, C-reactive protein down to 41. On culture-directed renally dosed intravenous cefepime; skilled daily dressings and strict left-forefoot offloading.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Peripheral arterial disease with reduced left distal perfusion (toe-brachial index 0.50, toe pressure 55 mmHg). Outpatient vascular follow-up; perfusion adequacy for healing remains an open question.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Acute kidney injury on chronic kidney disease stage 3b, improving. Creatinine 1.6 near baseline 1.5, eGFR 36, potassium 4.1. All agents renally dosed; avoid nephrotoxins and intravenous contrast.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Type 2 diabetes mellitus, insulin-treated (last A1c 8.6 percent). Basal insulin glargine adjusted to intake plus prandial insulin aspart sliding scale. Oral agents held during the acute illness and renal injury.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Anemia of chronic kidney disease, hemoglobin stable near 9.8 on home ferrous sulfate; remains an open item, monitor.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Heart failure with preserved ejection fraction, euvolemic. Continue furosemide and monitor volume.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Obstructive sleep apnea: home CPAP was reviewed this admission with settings confirmed and adherence adequate; obstructive sleep apnea is well controlled and no further sleep-medicine follow-up is indicated.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 AND IV ACCESS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TRANSITION OF CARE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TRANSITION OF CARE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TRANSITION OF CARE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