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184"/>
        <w:gridCol w:w="5184"/>
      </w:tblGrid>
      <w:tr>
        <w:tc>
          <w:tcPr>
            <w:tcW w:type="dxa" w:w="5184"/>
          </w:tcPr>
          <w:p>
            <w:r>
              <w:rPr>
                <w:rFonts w:ascii="Arial" w:hAnsi="Arial"/>
                <w:b/>
                <w:i w:val="0"/>
                <w:color w:val="1F3864"/>
                <w:sz w:val="22"/>
              </w:rPr>
              <w:t>Harbor Crest Regional Medical Center</w:t>
            </w:r>
          </w:p>
        </w:tc>
        <w:tc>
          <w:tcPr>
            <w:tcW w:type="dxa" w:w="5184"/>
          </w:tcPr>
          <w:p>
            <w:pPr>
              <w:jc w:val="right"/>
            </w:pPr>
            <w:r>
              <w:rPr>
                <w:rFonts w:ascii="Arial" w:hAnsi="Arial"/>
                <w:b/>
                <w:i w:val="0"/>
                <w:color w:val="4472C4"/>
                <w:sz w:val="17"/>
              </w:rPr>
              <w:t>Confidential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368"/>
      </w:tblGrid>
      <w:tr>
        <w:trPr>
          <w:trHeight w:val="40"/>
        </w:trPr>
        <w:tc>
          <w:tcPr>
            <w:tcW w:type="dxa" w:w="10368"/>
            <w:shd w:val="clear" w:fill="4472C4"/>
          </w:tcPr>
          <w:p/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color="C9D4EA"/>
          <w:left w:val="single" w:sz="4" w:color="C9D4EA"/>
          <w:bottom w:val="single" w:sz="4" w:color="C9D4EA"/>
          <w:right w:val="single" w:sz="4" w:color="C9D4EA"/>
          <w:insideH w:val="single" w:sz="4" w:color="C9D4EA"/>
          <w:insideV w:val="single" w:sz="4" w:color="C9D4EA"/>
        </w:tblBorders>
      </w:tblPr>
      <w:tblGrid>
        <w:gridCol w:w="2592"/>
        <w:gridCol w:w="2592"/>
        <w:gridCol w:w="2592"/>
        <w:gridCol w:w="2592"/>
      </w:tblGrid>
      <w:tr>
        <w:tc>
          <w:tcPr>
            <w:tcW w:type="dxa" w:w="7776"/>
            <w:gridSpan w:val="3"/>
            <w:shd w:val="clear" w:fill="4472C4"/>
          </w:tcPr>
          <w:p>
            <w:r>
              <w:rPr>
                <w:rFonts w:ascii="Arial" w:hAnsi="Arial"/>
                <w:b/>
                <w:i w:val="0"/>
                <w:color w:val="FFFFFF"/>
                <w:sz w:val="26"/>
              </w:rPr>
              <w:t xml:space="preserve">  Ondina Vasquell</w:t>
            </w:r>
            <w:r>
              <w:rPr>
                <w:rFonts w:ascii="Arial" w:hAnsi="Arial"/>
                <w:b w:val="0"/>
                <w:i w:val="0"/>
                <w:color w:val="FFFFFF"/>
                <w:sz w:val="18"/>
              </w:rPr>
              <w:t xml:space="preserve">    68 y  |  Female  |  DOB 03/14/1958</w:t>
            </w:r>
          </w:p>
        </w:tc>
        <w:tc>
          <w:tcPr>
            <w:tcW w:type="dxa" w:w="2592"/>
            <w:shd w:val="clear" w:fill="4472C4"/>
          </w:tcPr>
          <w:p>
            <w:pPr>
              <w:jc w:val="right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 xml:space="preserve">MRN OV-3358104  </w:t>
            </w:r>
          </w:p>
        </w:tc>
      </w:tr>
      <w:tr>
        <w:tc>
          <w:tcPr>
            <w:tcW w:type="dxa" w:w="2592"/>
            <w:shd w:val="clear" w:fill="EDF2FA"/>
          </w:tcPr>
          <w:p>
            <w:r>
              <w:rPr>
                <w:rFonts w:ascii="Arial" w:hAnsi="Arial"/>
                <w:b/>
                <w:i w:val="0"/>
                <w:color w:val="5E6670"/>
                <w:sz w:val="14"/>
              </w:rPr>
              <w:t>Date of Service</w:t>
              <w:br/>
            </w: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05/24/2026</w:t>
            </w:r>
          </w:p>
        </w:tc>
        <w:tc>
          <w:tcPr>
            <w:tcW w:type="dxa" w:w="2592"/>
            <w:shd w:val="clear" w:fill="EDF2FA"/>
          </w:tcPr>
          <w:p>
            <w:r>
              <w:rPr>
                <w:rFonts w:ascii="Arial" w:hAnsi="Arial"/>
                <w:b/>
                <w:i w:val="0"/>
                <w:color w:val="5E6670"/>
                <w:sz w:val="14"/>
              </w:rPr>
              <w:t>Author</w:t>
              <w:br/>
            </w: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Quality and Safety</w:t>
            </w:r>
          </w:p>
        </w:tc>
        <w:tc>
          <w:tcPr>
            <w:tcW w:type="dxa" w:w="2592"/>
            <w:shd w:val="clear" w:fill="EDF2FA"/>
          </w:tcPr>
          <w:p>
            <w:r>
              <w:rPr>
                <w:rFonts w:ascii="Arial" w:hAnsi="Arial"/>
                <w:b/>
                <w:i w:val="0"/>
                <w:color w:val="5E6670"/>
                <w:sz w:val="14"/>
              </w:rPr>
              <w:t>Allergies</w:t>
              <w:br/>
            </w: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Sulfa (sulfonamide antibiotics) - rash</w:t>
            </w:r>
          </w:p>
        </w:tc>
        <w:tc>
          <w:tcPr>
            <w:tcW w:type="dxa" w:w="2592"/>
            <w:shd w:val="clear" w:fill="EDF2FA"/>
          </w:tcPr>
          <w:p>
            <w:r>
              <w:rPr>
                <w:rFonts w:ascii="Arial" w:hAnsi="Arial"/>
                <w:b/>
                <w:i w:val="0"/>
                <w:color w:val="5E6670"/>
                <w:sz w:val="14"/>
              </w:rPr>
              <w:t>Document</w:t>
              <w:br/>
            </w: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PATIENT SAFETY CONTRIBUTING-FACTOR ANALYSIS</w:t>
            </w:r>
          </w:p>
        </w:tc>
      </w:tr>
    </w:tbl>
    <w:p/>
    <w:p>
      <w:r>
        <w:rPr>
          <w:rFonts w:ascii="Arial" w:hAnsi="Arial"/>
          <w:b/>
          <w:i w:val="0"/>
          <w:color w:val="1F3864"/>
          <w:sz w:val="28"/>
        </w:rPr>
        <w:t>PATIENT SAFETY CONTRIBUTING-FACTOR ANALYSIS</w:t>
      </w:r>
    </w:p>
    <w:p>
      <w:r>
        <w:rPr>
          <w:rFonts w:ascii="Arial" w:hAnsi="Arial"/>
          <w:b w:val="0"/>
          <w:i w:val="0"/>
          <w:color w:val="5E6670"/>
          <w:sz w:val="16"/>
        </w:rPr>
        <w:t>Author: Quality and Safety | Date: 05/24/2026 | RE: Ondina Vasquell | MRN OV-3358104 | CSN-308852140</w:t>
      </w:r>
    </w:p>
    <w:p>
      <w:pPr>
        <w:spacing w:before="180" w:after="60"/>
        <w:pBdr>
          <w:bottom w:val="single" w:sz="6" w:color="C9D4EA" w:space="2"/>
        </w:pBdr>
      </w:pPr>
      <w:r>
        <w:rPr>
          <w:rFonts w:ascii="Arial" w:hAnsi="Arial"/>
          <w:b/>
          <w:i w:val="0"/>
          <w:color w:val="4472C4"/>
          <w:sz w:val="20"/>
        </w:rPr>
        <w:t>PATIENT / ENCOUNTER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Patient: </w:t>
      </w:r>
      <w:r>
        <w:rPr>
          <w:rFonts w:ascii="Arial" w:hAnsi="Arial"/>
          <w:b w:val="0"/>
          <w:i w:val="0"/>
          <w:color w:val="232830"/>
          <w:sz w:val="18"/>
        </w:rPr>
        <w:t>Ondina Vasquell, 68 y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Sex / DOB: </w:t>
      </w:r>
      <w:r>
        <w:rPr>
          <w:rFonts w:ascii="Arial" w:hAnsi="Arial"/>
          <w:b w:val="0"/>
          <w:i w:val="0"/>
          <w:color w:val="232830"/>
          <w:sz w:val="18"/>
        </w:rPr>
        <w:t>Female / 03/14/1958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MRN / FIN: </w:t>
      </w:r>
      <w:r>
        <w:rPr>
          <w:rFonts w:ascii="Arial" w:hAnsi="Arial"/>
          <w:b w:val="0"/>
          <w:i w:val="0"/>
          <w:color w:val="232830"/>
          <w:sz w:val="18"/>
        </w:rPr>
        <w:t>OV-3358104 / FIN-2207733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Unit / Room: </w:t>
      </w:r>
      <w:r>
        <w:rPr>
          <w:rFonts w:ascii="Arial" w:hAnsi="Arial"/>
          <w:b w:val="0"/>
          <w:i w:val="0"/>
          <w:color w:val="232830"/>
          <w:sz w:val="18"/>
        </w:rPr>
        <w:t>6 South Medicine / 6S-214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Code Status: </w:t>
      </w:r>
      <w:r>
        <w:rPr>
          <w:rFonts w:ascii="Arial" w:hAnsi="Arial"/>
          <w:b w:val="0"/>
          <w:i w:val="0"/>
          <w:color w:val="232830"/>
          <w:sz w:val="18"/>
        </w:rPr>
        <w:t>Full Code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Allergies: </w:t>
      </w:r>
      <w:r>
        <w:rPr>
          <w:rFonts w:ascii="Arial" w:hAnsi="Arial"/>
          <w:b w:val="0"/>
          <w:i w:val="0"/>
          <w:color w:val="232830"/>
          <w:sz w:val="18"/>
        </w:rPr>
        <w:t>Sulfa (sulfonamide antibiotics) - rash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Attending: </w:t>
      </w:r>
      <w:r>
        <w:rPr>
          <w:rFonts w:ascii="Arial" w:hAnsi="Arial"/>
          <w:b w:val="0"/>
          <w:i w:val="0"/>
          <w:color w:val="232830"/>
          <w:sz w:val="18"/>
        </w:rPr>
        <w:t>Lillian Everet, MD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Service: </w:t>
      </w:r>
      <w:r>
        <w:rPr>
          <w:rFonts w:ascii="Arial" w:hAnsi="Arial"/>
          <w:b w:val="0"/>
          <w:i w:val="0"/>
          <w:color w:val="232830"/>
          <w:sz w:val="18"/>
        </w:rPr>
        <w:t>Hospital Medicine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Date of Service: </w:t>
      </w:r>
      <w:r>
        <w:rPr>
          <w:rFonts w:ascii="Arial" w:hAnsi="Arial"/>
          <w:b w:val="0"/>
          <w:i w:val="0"/>
          <w:color w:val="232830"/>
          <w:sz w:val="18"/>
        </w:rPr>
        <w:t>05/24/2026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Language: </w:t>
      </w:r>
      <w:r>
        <w:rPr>
          <w:rFonts w:ascii="Arial" w:hAnsi="Arial"/>
          <w:b w:val="0"/>
          <w:i w:val="0"/>
          <w:color w:val="232830"/>
          <w:sz w:val="18"/>
        </w:rPr>
        <w:t>Spanish preferred (interpreter used)</w:t>
      </w:r>
    </w:p>
    <w:p>
      <w:r>
        <w:rPr>
          <w:rFonts w:ascii="Arial" w:hAnsi="Arial"/>
          <w:b w:val="0"/>
          <w:i w:val="0"/>
          <w:color w:val="232830"/>
          <w:sz w:val="19"/>
        </w:rPr>
        <w:t>Started contributing-factor analysis for the safety committee. Mrs. Vasquell is a high-risk discharge with a limb-threatening diabetic foot infection; offloading was not consistently maintained and discharge teaching is incomplete. Identify the contributing factors to the readmission and limb-loss safety risk, each with its specific prevention step.</w:t>
      </w:r>
    </w:p>
    <w:p>
      <w:pPr>
        <w:spacing w:before="180" w:after="60"/>
        <w:pBdr>
          <w:bottom w:val="single" w:sz="6" w:color="C9D4EA" w:space="2"/>
        </w:pBdr>
      </w:pPr>
      <w:r>
        <w:rPr>
          <w:rFonts w:ascii="Arial" w:hAnsi="Arial"/>
          <w:b/>
          <w:i w:val="0"/>
          <w:color w:val="4472C4"/>
          <w:sz w:val="20"/>
        </w:rPr>
        <w:t>CONTRIBUTING FACTORS (STARTED - COMPLETE BELOW)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C9D4EA"/>
          <w:left w:val="single" w:sz="4" w:color="C9D4EA"/>
          <w:bottom w:val="single" w:sz="4" w:color="C9D4EA"/>
          <w:right w:val="single" w:sz="4" w:color="C9D4EA"/>
          <w:insideH w:val="single" w:sz="4" w:color="C9D4EA"/>
          <w:insideV w:val="single" w:sz="4" w:color="C9D4EA"/>
        </w:tblBorders>
      </w:tblPr>
      <w:tblGrid>
        <w:gridCol w:w="5184"/>
        <w:gridCol w:w="5184"/>
      </w:tblGrid>
      <w:tr>
        <w:tc>
          <w:tcPr>
            <w:tcW w:type="dxa" w:w="5184"/>
            <w:shd w:val="clear" w:fill="4472C4"/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Contributing factor</w:t>
            </w:r>
          </w:p>
        </w:tc>
        <w:tc>
          <w:tcPr>
            <w:tcW w:type="dxa" w:w="5184"/>
            <w:shd w:val="clear" w:fill="4472C4"/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Prevention or mitigation step</w:t>
            </w:r>
          </w:p>
        </w:tc>
      </w:tr>
      <w:tr>
        <w:tc>
          <w:tcPr>
            <w:tcW w:type="dxa" w:w="5184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Renal function and medication dosing</w:t>
            </w:r>
          </w:p>
        </w:tc>
        <w:tc>
          <w:tcPr>
            <w:tcW w:type="dxa" w:w="5184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Chronic kidney disease with acute kidney injury; antibiotics and held agents need renal-adjusted dosing. Pharmacy renal-dose verification at each care transition.</w:t>
            </w:r>
          </w:p>
        </w:tc>
      </w:tr>
      <w:tr>
        <w:tc>
          <w:tcPr>
            <w:tcW w:type="dxa" w:w="5184"/>
            <w:shd w:val="clear" w:fill="EDF2FA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Skilled wound care</w:t>
            </w:r>
          </w:p>
        </w:tc>
        <w:tc>
          <w:tcPr>
            <w:tcW w:type="dxa" w:w="5184"/>
            <w:shd w:val="clear" w:fill="EDF2FA"/>
          </w:tcPr>
          <w:p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Daily skilled dressing changes exceed self-care. Home-health skilled nursing confirmed before discharge.</w:t>
            </w:r>
          </w:p>
        </w:tc>
      </w:tr>
    </w:tbl>
    <w:p/>
    <w:p>
      <w:pPr>
        <w:spacing w:before="180" w:after="60"/>
        <w:pBdr>
          <w:bottom w:val="single" w:sz="6" w:color="C9D4EA" w:space="2"/>
        </w:pBdr>
      </w:pPr>
      <w:r>
        <w:rPr>
          <w:rFonts w:ascii="Arial" w:hAnsi="Arial"/>
          <w:b/>
          <w:i w:val="0"/>
          <w:color w:val="4472C4"/>
          <w:sz w:val="20"/>
        </w:rPr>
        <w:t>TO COMPLETE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Complete the contributing-factor analysis for the safety committee.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For EACH contributing factor, state the specific prevention or mitigation step.</w:t>
      </w:r>
    </w:p>
    <w:p>
      <w:pPr>
        <w:spacing w:before="200"/>
        <w:pBdr>
          <w:top w:val="single" w:sz="4" w:color="C9D4EA" w:space="4"/>
        </w:pBdr>
      </w:pPr>
      <w:r>
        <w:rPr>
          <w:rFonts w:ascii="Arial" w:hAnsi="Arial"/>
          <w:b w:val="0"/>
          <w:i/>
          <w:color w:val="5E6670"/>
          <w:sz w:val="18"/>
        </w:rPr>
        <w:t>Quality and Safety - contributing-factor analysis for physician completion</w:t>
      </w:r>
    </w:p>
    <w:sectPr w:rsidR="00FC693F" w:rsidRPr="0006063C" w:rsidSect="00034616">
      <w:headerReference w:type="default" r:id="rId9"/>
      <w:footerReference w:type="default" r:id="rId10"/>
      <w:headerReference w:type="even" r:id="rId11"/>
      <w:footerReference w:type="even" r:id="rId12"/>
      <w:headerReference w:type="first" r:id="rId13"/>
      <w:footerReference w:type="first" r:id="rId14"/>
      <w:pgSz w:w="12240" w:h="15840"/>
      <w:pgMar w:top="720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rFonts w:ascii="Arial" w:hAnsi="Arial"/>
        <w:b w:val="0"/>
        <w:i w:val="0"/>
        <w:color w:val="5E6670"/>
        <w:sz w:val="15"/>
      </w:rPr>
      <w:t>Harbor Crest Regional Medical Center  |  PATIENT SAFETY CONTRIBUTING-FACTOR ANALYSIS  |  Confidential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rFonts w:ascii="Arial" w:hAnsi="Arial"/>
        <w:b w:val="0"/>
        <w:i w:val="0"/>
        <w:color w:val="5E6670"/>
        <w:sz w:val="15"/>
      </w:rPr>
      <w:t>Harbor Crest Regional Medical Center  |  PATIENT SAFETY CONTRIBUTING-FACTOR ANALYSIS  |  Confidential</w:t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rFonts w:ascii="Arial" w:hAnsi="Arial"/>
        <w:b w:val="0"/>
        <w:i w:val="0"/>
        <w:color w:val="5E6670"/>
        <w:sz w:val="15"/>
      </w:rPr>
      <w:t>Harbor Crest Regional Medical Center  |  PATIENT SAFETY CONTRIBUTING-FACTOR ANALYSIS  |  Confidential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r>
      <w:rPr>
        <w:rFonts w:ascii="Arial" w:hAnsi="Arial"/>
        <w:b w:val="0"/>
        <w:i w:val="0"/>
        <w:color w:val="5E6670"/>
        <w:sz w:val="15"/>
      </w:rPr>
      <w:t>Ondina Vasquell  |  MRN OV-3358104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r>
      <w:rPr>
        <w:rFonts w:ascii="Arial" w:hAnsi="Arial"/>
        <w:b w:val="0"/>
        <w:i w:val="0"/>
        <w:color w:val="5E6670"/>
        <w:sz w:val="15"/>
      </w:rPr>
      <w:t>Ondina Vasquell  |  MRN OV-3358104</w:t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r>
      <w:rPr>
        <w:rFonts w:ascii="Arial" w:hAnsi="Arial"/>
        <w:b w:val="0"/>
        <w:i w:val="0"/>
        <w:color w:val="5E6670"/>
        <w:sz w:val="15"/>
      </w:rPr>
      <w:t>Ondina Vasquell  |  MRN OV-3358104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Pages>1</Pages>
  <Words>0</Words>
  <Characters>0</Characters>
  <Application/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cp:category/>
</cp:coreProperties>
</file>