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Planning Summary</w:t>
            </w:r>
          </w:p>
        </w:tc>
      </w:tr>
    </w:tbl>
    <w:p/>
    <w:p>
      <w:r>
        <w:rPr>
          <w:rFonts w:ascii="Arial" w:hAnsi="Arial"/>
          <w:b/>
          <w:i w:val="0"/>
          <w:color w:val="1F3864"/>
          <w:sz w:val="28"/>
        </w:rPr>
        <w:t>DISCHARGE PLANNING / TRANSITION-OF-CARE SUMMARY</w:t>
      </w:r>
    </w:p>
    <w:p>
      <w:r>
        <w:rPr>
          <w:rFonts w:ascii="Arial" w:hAnsi="Arial"/>
          <w:b w:val="0"/>
          <w:i w:val="0"/>
          <w:color w:val="5E6670"/>
          <w:sz w:val="16"/>
        </w:rPr>
        <w:t>Author: Elian Vossmere, MD  |  Department: Hospital Medicine  |  05/24/2026  |  Status: Signed</w:t>
      </w:r>
    </w:p>
    <w:p>
      <w:r>
        <w:rPr>
          <w:rFonts w:ascii="Arial" w:hAnsi="Arial"/>
          <w:b w:val="0"/>
          <w:i w:val="0"/>
          <w:color w:val="232830"/>
          <w:sz w:val="19"/>
        </w:rPr>
        <w:t>Reason for transition: Korvin Merrow is a 62-year-old man with HFrEF, CAD with a remote mid-LAD drug-eluting stent, CKD stage 3, type 2 diabetes, polymyalgia rheumatica on chronic prednisone, obstructive sleep apnea, and anemia of CKD, discharged home today, 05/24/2026, after a hospital-day-6 course for suspected urinary-source infection with sepsis physiology and AKI on CKD, both improved. He is afebrile, creatinine has returned toward his outpatient baseline at 1.80 with potassium 4.4, white count is normalized at 9.4, oral intake is back to 75 to 90 percent, and he is participating with nursing, therapy, and discharge planning.</w:t>
      </w:r>
    </w:p>
    <w:p>
      <w:r>
        <w:rPr>
          <w:rFonts w:ascii="Arial" w:hAnsi="Arial"/>
          <w:b w:val="0"/>
          <w:i w:val="0"/>
          <w:color w:val="232830"/>
          <w:sz w:val="19"/>
        </w:rPr>
        <w:t>Functional status and mobility: Physical Therapy (Renna Volkos, DPT) documents an elevated fall risk with a Morse Fall Scale of 65; he ambulates roughly 100 to 150 feet with a rolling walker and supervision and remains below his prior independent indoor baseline with fatigue and cueing needs. Supervised mobility is recommended for the first several days at home, with a rolling walker rather than his baseline occasional cane.</w:t>
      </w:r>
    </w:p>
    <w:p>
      <w:r>
        <w:rPr>
          <w:rFonts w:ascii="Arial" w:hAnsi="Arial"/>
          <w:b w:val="0"/>
          <w:i w:val="0"/>
          <w:color w:val="232830"/>
          <w:sz w:val="19"/>
        </w:rPr>
        <w:t>Cognition and medication management: Occupational Therapy (Brennan Sayre, OTR/L) documents reproducible medication-management errors across sessions and recommends a pre-filled weekly organizer with family verification and teach-back, and that Mr. Merrow not be the sole person responsible for new or changed medications in the early period. Nursing notes intermittent evening confusion, improving.</w:t>
      </w:r>
    </w:p>
    <w:p>
      <w:r>
        <w:rPr>
          <w:rFonts w:ascii="Arial" w:hAnsi="Arial"/>
          <w:b w:val="0"/>
          <w:i w:val="0"/>
          <w:color w:val="232830"/>
          <w:sz w:val="19"/>
        </w:rPr>
        <w:t>Ongoing conditions continued at home. HFrEF and CAD: the cardiorenal agents (sacubitril/valsartan, spironolactone, empagliflozin, furosemide) were held during the AKI and carvedilol was continued cautiously; restart sequencing is to be coordinated by Cardiology (Maris Caldrane, MD) and Nephrology (Iven Solthar, MD) after discharge and is not finalized inpatient. Diabetes: basal insulin glargine is continued; inpatient correctional insulin is not part of the home regimen. Polymyalgia rheumatica: continue prednisone without abrupt discontinuation; the outpatient taper is to be coordinated with Rheumatology (Soren Halvek, MD), with no numeric dose established from the inpatient record. Anemia of CKD: continue ferrous sulfate with outpatient monitoring. Osteoporosis: continue alendronate with calcium and vitamin D.</w:t>
      </w:r>
    </w:p>
    <w:p>
      <w:r>
        <w:rPr>
          <w:rFonts w:ascii="Arial" w:hAnsi="Arial"/>
          <w:b w:val="0"/>
          <w:i w:val="0"/>
          <w:color w:val="232830"/>
          <w:sz w:val="19"/>
        </w:rPr>
        <w:t>Obstructive sleep apnea: continue home CPAP. The only sleep study on file is the 2019 diagnostic polysomnography; there is no recent in-lab CPAP titration, and adherence is variable per home report and not verified by objective device data. No recent CPAP review or adequate-adherence determination is documented this admission. CPAP use, efficacy, and adherence are to be confirmed at outpatient follow-up rather than assumed; OSA control is not established here and is relevant given his heart failure.</w:t>
      </w:r>
    </w:p>
    <w:p>
      <w:r>
        <w:rPr>
          <w:rFonts w:ascii="Arial" w:hAnsi="Arial"/>
          <w:b w:val="0"/>
          <w:i w:val="0"/>
          <w:color w:val="232830"/>
          <w:sz w:val="19"/>
        </w:rPr>
        <w:t>Home services and equipment: home-health skilled nursing for early medication review and monitoring, home physical and occupational therapy, and assistive equipment (rolling walker, bedside commode, bathroom grab bars) are in coordination with Case Management (Priya Ostroff, RN, BSN, CCM) and Social Work (Devra Aimes, LCSW); the candidate agency is Keystone HomeCare Services. Agency acceptance, equipment delivery, and the home-environment review are pending confirmation and are not documented as complete.</w:t>
      </w:r>
    </w:p>
    <w:p>
      <w:r>
        <w:rPr>
          <w:rFonts w:ascii="Arial" w:hAnsi="Arial"/>
          <w:b w:val="0"/>
          <w:i w:val="0"/>
          <w:color w:val="232830"/>
          <w:sz w:val="19"/>
        </w:rPr>
        <w:t>Supervision and family teaching: the family is engaged. Wife Mara Merrow is the primary caregiver and designated healthcare proxy; daughter Lenora Merrow-Halsey provides weekend daytime support and transportation but is not available for weekday mornings, so weekday-morning coverage at medication times is not yet established. The specific supervision arrangement around medication times and the family medication teach-back against the final medication list remain to be completed before discharge.</w:t>
      </w:r>
    </w:p>
    <w:p>
      <w:r>
        <w:rPr>
          <w:rFonts w:ascii="Arial" w:hAnsi="Arial"/>
          <w:b w:val="0"/>
          <w:i w:val="0"/>
          <w:color w:val="232830"/>
          <w:sz w:val="19"/>
        </w:rPr>
        <w:t>Transportation and follow-up: transportation home and to follow-up is being arranged. Follow-up: primary care with Talia Quenor, MD within 7 days; Cardiology (Dr. Caldrane) within 2 weeks; Nephrology (Dr. Solthar) within 1 to 2 weeks; Endocrinology (Nerea Veylorn, MD) and Rheumatology (Dr. Halvek) within 2 to 4 weeks. Prescriptions through Harbor Crest Community Pharmacy.</w:t>
      </w:r>
    </w:p>
    <w:p>
      <w:r>
        <w:rPr>
          <w:rFonts w:ascii="Arial" w:hAnsi="Arial"/>
          <w:b w:val="0"/>
          <w:i w:val="0"/>
          <w:color w:val="232830"/>
          <w:sz w:val="19"/>
        </w:rPr>
        <w:t>Return precautions: fever, worsening weakness or confusion, recurrent lightheadedness or a near-fall, chest pain, shortness of breath, reduced intake, or an inability to follow the medication plan should prompt a call to the care team or return to the Emergency Department.</w:t>
      </w:r>
    </w:p>
    <w:p>
      <w:r>
        <w:rPr>
          <w:rFonts w:ascii="Arial" w:hAnsi="Arial"/>
          <w:b w:val="0"/>
          <w:i w:val="0"/>
          <w:color w:val="232830"/>
          <w:sz w:val="19"/>
        </w:rPr>
        <w:t>This summary is filed reflecting the record through hospital day 6. The items still in coordination - home-health acceptance, equipment delivery, transportation, the final supervision arrangement, and family teach-back against the final medication list - and CPAP efficacy and adherence are to be confirmed and are not documented as completed.</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Planning Summary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