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8064"/>
        <w:gridCol w:w="2304"/>
      </w:tblGrid>
      <w:tr>
        <w:tc>
          <w:tcPr>
            <w:tcW w:type="dxa" w:w="8064"/>
            <w:tcBorders>
              <w:top w:val="nil"/>
              <w:left w:val="nil"/>
              <w:bottom w:val="nil"/>
              <w:right w:val="nil"/>
            </w:tcBorders>
          </w:tcPr>
          <w:p>
            <w:pPr>
              <w:spacing w:before="0" w:after="0"/>
            </w:pPr>
            <w:r>
              <w:rPr>
                <w:rFonts w:ascii="Arial" w:hAnsi="Arial"/>
                <w:b/>
                <w:i w:val="0"/>
                <w:color w:val="1F3864"/>
                <w:sz w:val="22"/>
              </w:rPr>
              <w:t>MERCY VALE PRIMARY CARE - HARBOR CREST CLINIC</w:t>
            </w:r>
          </w:p>
          <w:p>
            <w:pPr>
              <w:spacing w:before="0" w:after="0"/>
            </w:pPr>
            <w:r>
              <w:rPr>
                <w:rFonts w:ascii="Arial" w:hAnsi="Arial"/>
                <w:b w:val="0"/>
                <w:i w:val="0"/>
                <w:color w:val="5E6670"/>
                <w:sz w:val="16"/>
              </w:rPr>
              <w:t>215 Harbor Crest Way, Suite 220, Bridgehollow, PA 15211</w:t>
            </w:r>
          </w:p>
          <w:p>
            <w:pPr>
              <w:spacing w:before="0" w:after="0"/>
            </w:pPr>
            <w:r>
              <w:rPr>
                <w:rFonts w:ascii="Arial" w:hAnsi="Arial"/>
                <w:b w:val="0"/>
                <w:i w:val="0"/>
                <w:color w:val="5E6670"/>
                <w:sz w:val="16"/>
              </w:rPr>
              <w:t>Phone (412) 555-0410  |  Fax (412) 555-0411</w:t>
            </w:r>
          </w:p>
        </w:tc>
        <w:tc>
          <w:tcPr>
            <w:tcW w:type="dxa" w:w="2304"/>
            <w:tcBorders>
              <w:top w:val="nil"/>
              <w:left w:val="nil"/>
              <w:bottom w:val="nil"/>
              <w:right w:val="nil"/>
            </w:tcBorders>
          </w:tcPr>
          <w:p>
            <w:pPr>
              <w:spacing w:before="0" w:after="0"/>
              <w:jc w:val="right"/>
            </w:pPr>
            <w:r>
              <w:rPr>
                <w:rFonts w:ascii="Arial" w:hAnsi="Arial"/>
                <w:b/>
                <w:i w:val="0"/>
                <w:color w:val="4472C4"/>
                <w:sz w:val="18"/>
              </w:rPr>
              <w:t>Confidential</w:t>
            </w:r>
          </w:p>
          <w:p>
            <w:pPr>
              <w:spacing w:before="0" w:after="0"/>
              <w:jc w:val="right"/>
            </w:pPr>
            <w:r>
              <w:rPr>
                <w:rFonts w:ascii="Arial" w:hAnsi="Arial"/>
                <w:b w:val="0"/>
                <w:i w:val="0"/>
                <w:color w:val="5E6670"/>
                <w:sz w:val="16"/>
              </w:rPr>
              <w:t>Primary Care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50" w:hRule="exact"/>
        </w:trPr>
        <w:tc>
          <w:tcPr>
            <w:tcW w:type="dxa" w:w="10368"/>
            <w:shd w:val="clear" w:color="auto" w:fill="4472C4"/>
          </w:tcPr>
          <w:p>
            <w:pPr>
              <w:spacing w:before="0" w:after="0"/>
            </w:pPr>
            <w:r>
              <w:rPr>
                <w:rFonts w:ascii="Arial" w:hAnsi="Arial"/>
                <w:b w:val="0"/>
                <w:i w:val="0"/>
                <w:color w:val="232830"/>
                <w:sz w:val="2"/>
              </w:rPr>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2592"/>
        <w:gridCol w:w="2592"/>
        <w:gridCol w:w="2592"/>
        <w:gridCol w:w="2592"/>
      </w:tblGrid>
      <w:tr>
        <w:tc>
          <w:tcPr>
            <w:tcW w:type="dxa" w:w="7776"/>
            <w:gridSpan w:val="3"/>
            <w:shd w:val="clear" w:color="auto" w:fill="4472C4"/>
            <w:tcBorders>
              <w:top w:val="nil"/>
              <w:left w:val="nil"/>
              <w:bottom w:val="nil"/>
              <w:right w:val="nil"/>
            </w:tcBorders>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Borders>
              <w:top w:val="nil"/>
              <w:left w:val="nil"/>
              <w:bottom w:val="nil"/>
              <w:right w:val="nil"/>
            </w:tcBorders>
          </w:tcPr>
          <w:p>
            <w:pPr>
              <w:spacing w:before="40" w:after="40"/>
              <w:jc w:val="right"/>
            </w:pPr>
            <w:r>
              <w:rPr>
                <w:rFonts w:ascii="Arial" w:hAnsi="Arial"/>
                <w:b/>
                <w:i w:val="0"/>
                <w:color w:val="FFFFFF"/>
                <w:sz w:val="20"/>
              </w:rPr>
              <w:t xml:space="preserve">MRN KM-6427819  </w:t>
            </w:r>
          </w:p>
        </w:tc>
      </w:tr>
      <w:tr>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date</w:t>
            </w:r>
          </w:p>
          <w:p>
            <w:pPr>
              <w:spacing w:before="0" w:after="40"/>
            </w:pPr>
            <w:r>
              <w:t>05/26/2026</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Author</w:t>
            </w:r>
          </w:p>
          <w:p>
            <w:pPr>
              <w:spacing w:before="0" w:after="40"/>
            </w:pPr>
            <w:r>
              <w:rPr>
                <w:rFonts w:ascii="Arial" w:hAnsi="Arial"/>
                <w:b w:val="0"/>
                <w:i w:val="0"/>
                <w:color w:val="232830"/>
                <w:sz w:val="16"/>
              </w:rPr>
              <w:t>Talia Quenor, MD</w:t>
            </w:r>
            <w:r>
              <w:br/>
            </w:r>
            <w:r>
              <w:rPr>
                <w:rFonts w:ascii="Arial" w:hAnsi="Arial"/>
                <w:b w:val="0"/>
                <w:i w:val="0"/>
                <w:color w:val="232830"/>
                <w:sz w:val="16"/>
              </w:rPr>
              <w:t>NPI 1962718304</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Allergy</w:t>
            </w:r>
          </w:p>
          <w:p>
            <w:pPr>
              <w:spacing w:before="0" w:after="40"/>
            </w:pPr>
            <w:r>
              <w:rPr>
                <w:rFonts w:ascii="Arial" w:hAnsi="Arial"/>
                <w:b w:val="0"/>
                <w:i w:val="0"/>
                <w:color w:val="232830"/>
                <w:sz w:val="16"/>
              </w:rPr>
              <w:t>Lisinopril (cough)</w:t>
            </w:r>
          </w:p>
        </w:tc>
        <w:tc>
          <w:tcPr>
            <w:tcW w:type="dxa" w:w="2592"/>
            <w:shd w:val="clear" w:color="auto" w:fill="EDF2FA"/>
            <w:tcBorders>
              <w:top w:val="nil"/>
              <w:left w:val="nil"/>
              <w:bottom w:val="nil"/>
              <w:right w:val="nil"/>
            </w:tcBorders>
          </w:tcPr>
          <w:p>
            <w:pPr>
              <w:spacing w:before="40" w:after="40"/>
            </w:pPr>
            <w:r>
              <w:rPr>
                <w:rFonts w:ascii="Arial" w:hAnsi="Arial"/>
                <w:b/>
                <w:i w:val="0"/>
                <w:color w:val="5E6670"/>
                <w:sz w:val="14"/>
              </w:rPr>
              <w:t>Document type</w:t>
            </w:r>
          </w:p>
          <w:p>
            <w:pPr>
              <w:spacing w:before="0" w:after="40"/>
            </w:pPr>
            <w:r>
              <w:rPr>
                <w:rFonts w:ascii="Arial" w:hAnsi="Arial"/>
                <w:b w:val="0"/>
                <w:i w:val="0"/>
                <w:color w:val="232830"/>
                <w:sz w:val="16"/>
              </w:rPr>
              <w:t>Nephrology referral letter - draft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color="auto" w:fill="EDF2FA"/>
            <w:tcBorders>
              <w:top w:val="nil"/>
              <w:left w:val="nil"/>
              <w:bottom w:val="nil"/>
              <w:right w:val="nil"/>
            </w:tcBorders>
          </w:tcPr>
          <w:p>
            <w:pPr>
              <w:spacing w:before="40" w:after="40"/>
            </w:pPr>
            <w:r>
              <w:rPr>
                <w:rFonts w:ascii="Arial" w:hAnsi="Arial"/>
                <w:b/>
                <w:i w:val="0"/>
                <w:color w:val="5E6670"/>
                <w:sz w:val="14"/>
              </w:rPr>
              <w:t>To: Iven Solthar, MD - Nephrology, Mercy Vale Regional Medical Center</w:t>
            </w:r>
            <w:r>
              <w:rPr>
                <w:rFonts w:ascii="Arial" w:hAnsi="Arial"/>
                <w:b w:val="0"/>
                <w:i w:val="0"/>
                <w:color w:val="232830"/>
                <w:sz w:val="16"/>
              </w:rPr>
            </w:r>
          </w:p>
        </w:tc>
      </w:tr>
    </w:tbl>
    <w:p>
      <w:pPr>
        <w:spacing w:before="0" w:after="0"/>
      </w:pPr>
    </w:p>
    <w:p>
      <w:pPr>
        <w:spacing w:before="120" w:after="20"/>
      </w:pPr>
      <w:r>
        <w:rPr>
          <w:rFonts w:ascii="Arial" w:hAnsi="Arial"/>
          <w:b/>
          <w:i w:val="0"/>
          <w:color w:val="1F3864"/>
          <w:sz w:val="28"/>
        </w:rPr>
        <w:t>NEPHROLOGY REFERRAL LETTER - DRAFT</w:t>
      </w:r>
    </w:p>
    <w:p>
      <w:pPr>
        <w:spacing w:before="0" w:after="120"/>
      </w:pPr>
      <w:r>
        <w:t>Author: Talia Quenor, MD - Primary Care  |  Mercy Vale Primary Care, Harbor Crest Clinic  |  05/26/2026  |  Status: Draft for finalization</w:t>
      </w:r>
    </w:p>
    <w:p>
      <w:pPr>
        <w:spacing w:before="160" w:after="60"/>
        <w:pBdr>
          <w:bottom w:val="single" w:sz="6" w:space="2" w:color="C9D4EA"/>
        </w:pBdr>
      </w:pPr>
      <w:r>
        <w:rPr>
          <w:rFonts w:ascii="Arial" w:hAnsi="Arial"/>
          <w:b/>
          <w:i w:val="0"/>
          <w:color w:val="4472C4"/>
          <w:sz w:val="20"/>
        </w:rPr>
        <w:t>REASON FOR REFERRAL</w:t>
      </w:r>
    </w:p>
    <w:p>
      <w:pPr>
        <w:spacing w:before="20" w:after="60"/>
      </w:pPr>
      <w:r>
        <w:rPr>
          <w:rFonts w:ascii="Arial" w:hAnsi="Arial"/>
          <w:b w:val="0"/>
          <w:i w:val="0"/>
          <w:color w:val="232830"/>
          <w:sz w:val="19"/>
        </w:rPr>
        <w:t>Dear Dr. Solthar, thank you for seeing Mr. Merrow in follow-up after his 05/18 to 05/24/2026 hospitalization for a suspected urinary-source infection with sepsis physiology and acute kidney injury on his baseline CKD stage 3. I am referring him for ongoing renal follow-up and to lead the staged reintroduction of the renal- and hemodynamic-sensitive medications held during the admission, in coordination with his cardiologist. None of the held agents has been restarted since discharge.</w:t>
      </w:r>
    </w:p>
    <w:p>
      <w:pPr>
        <w:spacing w:before="160" w:after="60"/>
        <w:pBdr>
          <w:bottom w:val="single" w:sz="6" w:space="2" w:color="C9D4EA"/>
        </w:pBdr>
      </w:pPr>
      <w:r>
        <w:rPr>
          <w:rFonts w:ascii="Arial" w:hAnsi="Arial"/>
          <w:b/>
          <w:i w:val="0"/>
          <w:color w:val="4472C4"/>
          <w:sz w:val="20"/>
        </w:rPr>
        <w:t>HOSPITAL COURSE</w:t>
      </w:r>
    </w:p>
    <w:p>
      <w:pPr>
        <w:spacing w:before="20" w:after="60"/>
      </w:pPr>
      <w:r>
        <w:rPr>
          <w:rFonts w:ascii="Arial" w:hAnsi="Arial"/>
          <w:b w:val="0"/>
          <w:i w:val="0"/>
          <w:color w:val="232830"/>
          <w:sz w:val="19"/>
        </w:rPr>
        <w:t>His outpatient baseline creatinine is 1.6 to 1.8 mg/dL with an eGFR in the 40 to 50 range. Admission creatinine peaked at 2.62 mg/dL with a multifactorial, predominantly prerenal injury. By discharge the creatinine had returned to 1.80 mg/dL, at the upper end of his baseline, and the AKI had resolved by laboratory criteria. Your inpatient service framed the medication restart as a staged, parameter-gated sequencing question guided by renal trajectory and blood pressure reserve rather than by any single favorable value.</w:t>
      </w:r>
    </w:p>
    <w:p>
      <w:pPr>
        <w:spacing w:before="160" w:after="60"/>
        <w:pBdr>
          <w:bottom w:val="single" w:sz="6" w:space="2" w:color="C9D4EA"/>
        </w:pBdr>
      </w:pPr>
      <w:r>
        <w:rPr>
          <w:rFonts w:ascii="Arial" w:hAnsi="Arial"/>
          <w:b/>
          <w:i w:val="0"/>
          <w:color w:val="4472C4"/>
          <w:sz w:val="20"/>
        </w:rPr>
        <w:t>MEDICATIONS AND INTERVAL STATUS</w:t>
      </w:r>
    </w:p>
    <w:p>
      <w:pPr>
        <w:spacing w:before="20" w:after="60"/>
      </w:pPr>
      <w:r>
        <w:rPr>
          <w:rFonts w:ascii="Arial" w:hAnsi="Arial"/>
          <w:b w:val="0"/>
          <w:i w:val="0"/>
          <w:color w:val="232830"/>
          <w:sz w:val="19"/>
        </w:rPr>
        <w:t>Current medications: carvedilol 12.5 mg twice daily, aspirin 81 mg daily, atorvastatin 40 mg nightly, insulin glargine 18 units nightly, gabapentin 300 mg nightly, ferrous sulfate, calcium with vitamin D, and pantoprazole. Their inpatient reconciliation status remains to be completed for this letter. Held pending your guidance: sacubitril/valsartan 24/26 mg twice daily, spironolactone 25 mg daily, furosemide 40 mg daily, empagliflozin 10 mg daily, metformin ER 500 mg twice daily. Prednisone continues on its outpatient taper.</w:t>
      </w:r>
    </w:p>
    <w:p>
      <w:pPr>
        <w:spacing w:before="160" w:after="60"/>
        <w:pBdr>
          <w:bottom w:val="single" w:sz="6" w:space="2" w:color="C9D4EA"/>
        </w:pBdr>
      </w:pPr>
      <w:r>
        <w:rPr>
          <w:rFonts w:ascii="Arial" w:hAnsi="Arial"/>
          <w:b/>
          <w:i w:val="0"/>
          <w:color w:val="4472C4"/>
          <w:sz w:val="20"/>
        </w:rPr>
        <w:t>REQUESTS AND FOLLOW-UP</w:t>
      </w:r>
    </w:p>
    <w:p>
      <w:pPr>
        <w:spacing w:before="20" w:after="60"/>
      </w:pPr>
      <w:r>
        <w:rPr>
          <w:rFonts w:ascii="Arial" w:hAnsi="Arial"/>
          <w:b w:val="0"/>
          <w:i w:val="0"/>
          <w:color w:val="232830"/>
          <w:sz w:val="19"/>
        </w:rPr>
        <w:t>He would benefit from being seen within one to two weeks of discharge as your service recommended. Please advise on restart sequencing, monitoring intervals, and any interim laboratory checks you would like before his visit.</w:t>
      </w:r>
    </w:p>
    <w:p>
      <w:pPr>
        <w:spacing w:before="20" w:after="60"/>
      </w:pPr>
      <w:r>
        <w:rPr>
          <w:rFonts w:ascii="Arial" w:hAnsi="Arial"/>
          <w:b w:val="0"/>
          <w:i w:val="0"/>
          <w:color w:val="232830"/>
          <w:sz w:val="19"/>
        </w:rPr>
        <w:t>To finalize: complete and send.</w:t>
      </w:r>
    </w:p>
    <w:p>
      <w:pPr>
        <w:spacing w:before="280" w:after="0"/>
        <w:pBdr>
          <w:top w:val="single" w:sz="4" w:space="4" w:color="C9D4EA"/>
        </w:pBdr>
      </w:pPr>
      <w:r>
        <w:t>Draft started 05/26/2026 - complete and send</w:t>
      </w:r>
    </w:p>
    <w:p>
      <w:pPr>
        <w:spacing w:before="0" w:after="0"/>
      </w:pPr>
      <w:r>
        <w:rPr>
          <w:rFonts w:ascii="Arial" w:hAnsi="Arial"/>
          <w:b/>
          <w:i w:val="0"/>
          <w:color w:val="232830"/>
          <w:sz w:val="20"/>
        </w:rPr>
        <w:t>For: Talia Quenor, MD - Primary Care</w:t>
      </w:r>
    </w:p>
    <w:p>
      <w:pPr>
        <w:spacing w:before="0" w:after="160"/>
      </w:pPr>
      <w:r>
        <w:rPr>
          <w:rFonts w:ascii="Arial" w:hAnsi="Arial"/>
          <w:b w:val="0"/>
          <w:i w:val="0"/>
          <w:color w:val="5E6670"/>
          <w:sz w:val="17"/>
        </w:rPr>
        <w:t>Mercy Vale Primary Care - Harbor Crest Clinic  |  NPI 1962718304  |  (412) 555-0410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