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05/22/2026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Lillian Everet,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PHYSICIAN CODING ATTESTATION</w:t>
            </w:r>
          </w:p>
        </w:tc>
      </w:tr>
    </w:tbl>
    <w:p/>
    <w:p>
      <w:r>
        <w:rPr>
          <w:rFonts w:ascii="Arial" w:hAnsi="Arial"/>
          <w:b/>
          <w:i w:val="0"/>
          <w:color w:val="1F3864"/>
          <w:sz w:val="28"/>
        </w:rPr>
        <w:t>PHYSICIAN CODING ATTESTATION</w:t>
      </w:r>
    </w:p>
    <w:p>
      <w:r>
        <w:rPr>
          <w:rFonts w:ascii="Arial" w:hAnsi="Arial"/>
          <w:b w:val="0"/>
          <w:i w:val="0"/>
          <w:color w:val="5E6670"/>
          <w:sz w:val="16"/>
        </w:rPr>
        <w:t>Author: Lillian Everet, MD - Hospital Medicine | Date of Service: 05/22/2026 0900 | Status: Draft for physician sign</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05/22/2026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FINAL PATHWAY FOR SIGNATURE</w:t>
      </w:r>
    </w:p>
    <w:p>
      <w:r>
        <w:rPr>
          <w:rFonts w:ascii="Arial" w:hAnsi="Arial"/>
          <w:b w:val="0"/>
          <w:i w:val="0"/>
          <w:color w:val="232830"/>
          <w:sz w:val="19"/>
        </w:rPr>
        <w:t>I have reviewed the HIM final coding attestation packet. I am signing one final pathway only. Pathway B is the correct pathway. Pathway A is not attested and should not remain available for signature, default billing, or coder selection.</w:t>
      </w:r>
    </w:p>
    <w:p>
      <w:pPr>
        <w:spacing w:before="180" w:after="60"/>
        <w:pBdr>
          <w:bottom w:val="single" w:sz="6" w:color="C9D4EA" w:space="2"/>
        </w:pBdr>
      </w:pPr>
      <w:r>
        <w:rPr>
          <w:rFonts w:ascii="Arial" w:hAnsi="Arial"/>
          <w:b/>
          <w:i w:val="0"/>
          <w:color w:val="4472C4"/>
          <w:sz w:val="20"/>
        </w:rPr>
        <w:t>PRINCIPAL DIAGNOSIS</w:t>
      </w:r>
    </w:p>
    <w:p>
      <w:r>
        <w:rPr>
          <w:rFonts w:ascii="Arial" w:hAnsi="Arial"/>
          <w:b w:val="0"/>
          <w:i w:val="0"/>
          <w:color w:val="232830"/>
          <w:sz w:val="19"/>
        </w:rPr>
        <w:t>Limb-threatening left diabetic foot infection with deep soft tissue involvement. Under the inpatient rule, the principal diagnosis is the condition chiefly responsible for occasioning the admission. Mrs. Vasquell presented and was admitted for the worsening draining left forefoot diabetic ulcer with surrounding cellulitis and deep soft tissue infection. I do not attest Pathway A's acute kidney injury or acute renal failure principal. The acute kidney injury on chronic kidney disease is a concurrent condition managed during the stay, not the condition chiefly responsible for the admission, so it is a secondary diagnosis and not the principal. The encounter groups to the diabetic foot infection or cellulitis family, not the renal failure family.</w:t>
      </w:r>
    </w:p>
    <w:p>
      <w:pPr>
        <w:spacing w:before="180" w:after="60"/>
        <w:pBdr>
          <w:bottom w:val="single" w:sz="6" w:color="C9D4EA" w:space="2"/>
        </w:pBdr>
      </w:pPr>
      <w:r>
        <w:rPr>
          <w:rFonts w:ascii="Arial" w:hAnsi="Arial"/>
          <w:b/>
          <w:i w:val="0"/>
          <w:color w:val="4472C4"/>
          <w:sz w:val="20"/>
        </w:rPr>
        <w:t>ATTESTATION BY DIAGNOSIS</w:t>
      </w:r>
    </w:p>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2592"/>
            <w:shd w:val="clear" w:fill="4472C4"/>
          </w:tcPr>
          <w:p>
            <w:r>
              <w:rPr>
                <w:rFonts w:ascii="Arial" w:hAnsi="Arial"/>
                <w:b/>
                <w:i w:val="0"/>
                <w:color w:val="FFFFFF"/>
                <w:sz w:val="16"/>
              </w:rPr>
              <w:t>Diagnosis</w:t>
            </w:r>
          </w:p>
        </w:tc>
        <w:tc>
          <w:tcPr>
            <w:tcW w:type="dxa" w:w="2592"/>
            <w:shd w:val="clear" w:fill="4472C4"/>
          </w:tcPr>
          <w:p>
            <w:r>
              <w:rPr>
                <w:rFonts w:ascii="Arial" w:hAnsi="Arial"/>
                <w:b/>
                <w:i w:val="0"/>
                <w:color w:val="FFFFFF"/>
                <w:sz w:val="16"/>
              </w:rPr>
              <w:t>Sequencing / code family</w:t>
            </w:r>
          </w:p>
        </w:tc>
        <w:tc>
          <w:tcPr>
            <w:tcW w:type="dxa" w:w="2592"/>
            <w:shd w:val="clear" w:fill="4472C4"/>
          </w:tcPr>
          <w:p>
            <w:r>
              <w:rPr>
                <w:rFonts w:ascii="Arial" w:hAnsi="Arial"/>
                <w:b/>
                <w:i w:val="0"/>
                <w:color w:val="FFFFFF"/>
                <w:sz w:val="16"/>
              </w:rPr>
              <w:t>POA</w:t>
            </w:r>
          </w:p>
        </w:tc>
        <w:tc>
          <w:tcPr>
            <w:tcW w:type="dxa" w:w="2592"/>
            <w:shd w:val="clear" w:fill="4472C4"/>
          </w:tcPr>
          <w:p>
            <w:r>
              <w:rPr>
                <w:rFonts w:ascii="Arial" w:hAnsi="Arial"/>
                <w:b/>
                <w:i w:val="0"/>
                <w:color w:val="FFFFFF"/>
                <w:sz w:val="16"/>
              </w:rPr>
              <w:t>Attestation</w:t>
            </w:r>
          </w:p>
        </w:tc>
      </w:tr>
      <w:tr>
        <w:tc>
          <w:tcPr>
            <w:tcW w:type="dxa" w:w="2592"/>
          </w:tcPr>
          <w:p>
            <w:r>
              <w:rPr>
                <w:rFonts w:ascii="Arial" w:hAnsi="Arial"/>
                <w:b w:val="0"/>
                <w:i w:val="0"/>
                <w:color w:val="232830"/>
                <w:sz w:val="16"/>
              </w:rPr>
              <w:t>Diabetic foot infection, deep soft tissue, left foot</w:t>
            </w:r>
          </w:p>
        </w:tc>
        <w:tc>
          <w:tcPr>
            <w:tcW w:type="dxa" w:w="2592"/>
          </w:tcPr>
          <w:p>
            <w:r>
              <w:rPr>
                <w:rFonts w:ascii="Arial" w:hAnsi="Arial"/>
                <w:b w:val="0"/>
                <w:i w:val="0"/>
                <w:color w:val="232830"/>
                <w:sz w:val="16"/>
              </w:rPr>
              <w:t>PRINCIPAL - diabetic foot ulcer with cellulitis and deep soft tissue infection</w:t>
            </w:r>
          </w:p>
        </w:tc>
        <w:tc>
          <w:tcPr>
            <w:tcW w:type="dxa" w:w="2592"/>
          </w:tcPr>
          <w:p>
            <w:r>
              <w:rPr>
                <w:rFonts w:ascii="Arial" w:hAnsi="Arial"/>
                <w:b w:val="0"/>
                <w:i w:val="0"/>
                <w:color w:val="232830"/>
                <w:sz w:val="16"/>
              </w:rPr>
              <w:t>Yes</w:t>
            </w:r>
          </w:p>
        </w:tc>
        <w:tc>
          <w:tcPr>
            <w:tcW w:type="dxa" w:w="2592"/>
          </w:tcPr>
          <w:p>
            <w:r>
              <w:rPr>
                <w:rFonts w:ascii="Arial" w:hAnsi="Arial"/>
                <w:b w:val="0"/>
                <w:i w:val="0"/>
                <w:color w:val="232830"/>
                <w:sz w:val="16"/>
              </w:rPr>
              <w:t>Attest as PRINCIPAL. The condition that occasioned the admission, supported by the ED note, the podiatry debridement note, and the wound consult.</w:t>
            </w:r>
          </w:p>
        </w:tc>
      </w:tr>
      <w:tr>
        <w:tc>
          <w:tcPr>
            <w:tcW w:type="dxa" w:w="2592"/>
            <w:shd w:val="clear" w:fill="EDF2FA"/>
          </w:tcPr>
          <w:p>
            <w:r>
              <w:rPr>
                <w:rFonts w:ascii="Arial" w:hAnsi="Arial"/>
                <w:b w:val="0"/>
                <w:i w:val="0"/>
                <w:color w:val="232830"/>
                <w:sz w:val="16"/>
              </w:rPr>
              <w:t>Acute kidney injury on chronic kidney disease</w:t>
            </w:r>
          </w:p>
        </w:tc>
        <w:tc>
          <w:tcPr>
            <w:tcW w:type="dxa" w:w="2592"/>
            <w:shd w:val="clear" w:fill="EDF2FA"/>
          </w:tcPr>
          <w:p>
            <w:r>
              <w:rPr>
                <w:rFonts w:ascii="Arial" w:hAnsi="Arial"/>
                <w:b w:val="0"/>
                <w:i w:val="0"/>
                <w:color w:val="232830"/>
                <w:sz w:val="16"/>
              </w:rPr>
              <w:t>Secondary - CKD with acute kidney injury</w:t>
            </w:r>
          </w:p>
        </w:tc>
        <w:tc>
          <w:tcPr>
            <w:tcW w:type="dxa" w:w="2592"/>
            <w:shd w:val="clear" w:fill="EDF2FA"/>
          </w:tcPr>
          <w:p>
            <w:r>
              <w:rPr>
                <w:rFonts w:ascii="Arial" w:hAnsi="Arial"/>
                <w:b w:val="0"/>
                <w:i w:val="0"/>
                <w:color w:val="232830"/>
                <w:sz w:val="16"/>
              </w:rPr>
              <w:t>Yes</w:t>
            </w:r>
          </w:p>
        </w:tc>
        <w:tc>
          <w:tcPr>
            <w:tcW w:type="dxa" w:w="2592"/>
            <w:shd w:val="clear" w:fill="EDF2FA"/>
          </w:tcPr>
          <w:p>
            <w:r>
              <w:rPr>
                <w:rFonts w:ascii="Arial" w:hAnsi="Arial"/>
                <w:b w:val="0"/>
                <w:i w:val="0"/>
                <w:color w:val="232830"/>
                <w:sz w:val="16"/>
              </w:rPr>
              <w:t>Retain as a SECONDARY, not the principal. Documented in the renal trend; a concurrent condition treated during the stay that did not occasion the admission. Do not sequence it as principal and do not assign the renal failure DRG.</w:t>
            </w:r>
          </w:p>
        </w:tc>
      </w:tr>
      <w:tr>
        <w:tc>
          <w:tcPr>
            <w:tcW w:type="dxa" w:w="2592"/>
          </w:tcPr>
          <w:p>
            <w:r>
              <w:rPr>
                <w:rFonts w:ascii="Arial" w:hAnsi="Arial"/>
                <w:b w:val="0"/>
                <w:i w:val="0"/>
                <w:color w:val="232830"/>
                <w:sz w:val="16"/>
              </w:rPr>
              <w:t>Working DRG family</w:t>
            </w:r>
          </w:p>
        </w:tc>
        <w:tc>
          <w:tcPr>
            <w:tcW w:type="dxa" w:w="2592"/>
          </w:tcPr>
          <w:p>
            <w:r>
              <w:rPr>
                <w:rFonts w:ascii="Arial" w:hAnsi="Arial"/>
                <w:b w:val="0"/>
                <w:i w:val="0"/>
                <w:color w:val="232830"/>
                <w:sz w:val="16"/>
              </w:rPr>
              <w:t>Diabetic foot infection / cellulitis family</w:t>
            </w:r>
          </w:p>
        </w:tc>
        <w:tc>
          <w:tcPr>
            <w:tcW w:type="dxa" w:w="2592"/>
          </w:tcPr>
          <w:p>
            <w:r>
              <w:rPr>
                <w:rFonts w:ascii="Arial" w:hAnsi="Arial"/>
                <w:b w:val="0"/>
                <w:i w:val="0"/>
                <w:color w:val="232830"/>
                <w:sz w:val="16"/>
              </w:rPr>
              <w:t>n/a</w:t>
            </w:r>
          </w:p>
        </w:tc>
        <w:tc>
          <w:tcPr>
            <w:tcW w:type="dxa" w:w="2592"/>
          </w:tcPr>
          <w:p>
            <w:r>
              <w:rPr>
                <w:rFonts w:ascii="Arial" w:hAnsi="Arial"/>
                <w:b w:val="0"/>
                <w:i w:val="0"/>
                <w:color w:val="232830"/>
                <w:sz w:val="16"/>
              </w:rPr>
              <w:t>Attest the foot-infection DRG family. Pathway A's renal failure family and its CC/MCC tier are not attested, because the acute kidney injury is not the principal diagnosis.</w:t>
            </w:r>
          </w:p>
        </w:tc>
      </w:tr>
      <w:tr>
        <w:tc>
          <w:tcPr>
            <w:tcW w:type="dxa" w:w="2592"/>
            <w:shd w:val="clear" w:fill="EDF2FA"/>
          </w:tcPr>
          <w:p>
            <w:r>
              <w:rPr>
                <w:rFonts w:ascii="Arial" w:hAnsi="Arial"/>
                <w:b w:val="0"/>
                <w:i w:val="0"/>
                <w:color w:val="232830"/>
                <w:sz w:val="16"/>
              </w:rPr>
              <w:t>Type 2 diabetes with foot complication</w:t>
            </w:r>
          </w:p>
        </w:tc>
        <w:tc>
          <w:tcPr>
            <w:tcW w:type="dxa" w:w="2592"/>
            <w:shd w:val="clear" w:fill="EDF2FA"/>
          </w:tcPr>
          <w:p>
            <w:r>
              <w:rPr>
                <w:rFonts w:ascii="Arial" w:hAnsi="Arial"/>
                <w:b w:val="0"/>
                <w:i w:val="0"/>
                <w:color w:val="232830"/>
                <w:sz w:val="16"/>
              </w:rPr>
              <w:t>Diabetes with complication</w:t>
            </w:r>
          </w:p>
        </w:tc>
        <w:tc>
          <w:tcPr>
            <w:tcW w:type="dxa" w:w="2592"/>
            <w:shd w:val="clear" w:fill="EDF2FA"/>
          </w:tcPr>
          <w:p>
            <w:r>
              <w:rPr>
                <w:rFonts w:ascii="Arial" w:hAnsi="Arial"/>
                <w:b w:val="0"/>
                <w:i w:val="0"/>
                <w:color w:val="232830"/>
                <w:sz w:val="16"/>
              </w:rPr>
              <w:t>Yes</w:t>
            </w:r>
          </w:p>
        </w:tc>
        <w:tc>
          <w:tcPr>
            <w:tcW w:type="dxa" w:w="2592"/>
            <w:shd w:val="clear" w:fill="EDF2FA"/>
          </w:tcPr>
          <w:p>
            <w:r>
              <w:rPr>
                <w:rFonts w:ascii="Arial" w:hAnsi="Arial"/>
                <w:b w:val="0"/>
                <w:i w:val="0"/>
                <w:color w:val="232830"/>
                <w:sz w:val="16"/>
              </w:rPr>
              <w:t>Retain. Documented throughout.</w:t>
            </w:r>
          </w:p>
        </w:tc>
      </w:tr>
      <w:tr>
        <w:tc>
          <w:tcPr>
            <w:tcW w:type="dxa" w:w="2592"/>
          </w:tcPr>
          <w:p>
            <w:r>
              <w:rPr>
                <w:rFonts w:ascii="Arial" w:hAnsi="Arial"/>
                <w:b w:val="0"/>
                <w:i w:val="0"/>
                <w:color w:val="232830"/>
                <w:sz w:val="16"/>
              </w:rPr>
              <w:t>Chronic kidney disease stage 3b</w:t>
            </w:r>
          </w:p>
        </w:tc>
        <w:tc>
          <w:tcPr>
            <w:tcW w:type="dxa" w:w="2592"/>
          </w:tcPr>
          <w:p>
            <w:r>
              <w:rPr>
                <w:rFonts w:ascii="Arial" w:hAnsi="Arial"/>
                <w:b w:val="0"/>
                <w:i w:val="0"/>
                <w:color w:val="232830"/>
                <w:sz w:val="16"/>
              </w:rPr>
              <w:t>CKD stage 3b</w:t>
            </w:r>
          </w:p>
        </w:tc>
        <w:tc>
          <w:tcPr>
            <w:tcW w:type="dxa" w:w="2592"/>
          </w:tcPr>
          <w:p>
            <w:r>
              <w:rPr>
                <w:rFonts w:ascii="Arial" w:hAnsi="Arial"/>
                <w:b w:val="0"/>
                <w:i w:val="0"/>
                <w:color w:val="232830"/>
                <w:sz w:val="16"/>
              </w:rPr>
              <w:t>Yes</w:t>
            </w:r>
          </w:p>
        </w:tc>
        <w:tc>
          <w:tcPr>
            <w:tcW w:type="dxa" w:w="2592"/>
          </w:tcPr>
          <w:p>
            <w:r>
              <w:rPr>
                <w:rFonts w:ascii="Arial" w:hAnsi="Arial"/>
                <w:b w:val="0"/>
                <w:i w:val="0"/>
                <w:color w:val="232830"/>
                <w:sz w:val="16"/>
              </w:rPr>
              <w:t>Retain as a secondary.</w:t>
            </w:r>
          </w:p>
        </w:tc>
      </w:tr>
      <w:tr>
        <w:tc>
          <w:tcPr>
            <w:tcW w:type="dxa" w:w="2592"/>
            <w:shd w:val="clear" w:fill="EDF2FA"/>
          </w:tcPr>
          <w:p>
            <w:r>
              <w:rPr>
                <w:rFonts w:ascii="Arial" w:hAnsi="Arial"/>
                <w:b w:val="0"/>
                <w:i w:val="0"/>
                <w:color w:val="232830"/>
                <w:sz w:val="16"/>
              </w:rPr>
              <w:t>Anemia of chronic kidney disease</w:t>
            </w:r>
          </w:p>
        </w:tc>
        <w:tc>
          <w:tcPr>
            <w:tcW w:type="dxa" w:w="2592"/>
            <w:shd w:val="clear" w:fill="EDF2FA"/>
          </w:tcPr>
          <w:p>
            <w:r>
              <w:rPr>
                <w:rFonts w:ascii="Arial" w:hAnsi="Arial"/>
                <w:b w:val="0"/>
                <w:i w:val="0"/>
                <w:color w:val="232830"/>
                <w:sz w:val="16"/>
              </w:rPr>
              <w:t>Anemia in CKD</w:t>
            </w:r>
          </w:p>
        </w:tc>
        <w:tc>
          <w:tcPr>
            <w:tcW w:type="dxa" w:w="2592"/>
            <w:shd w:val="clear" w:fill="EDF2FA"/>
          </w:tcPr>
          <w:p>
            <w:r>
              <w:rPr>
                <w:rFonts w:ascii="Arial" w:hAnsi="Arial"/>
                <w:b w:val="0"/>
                <w:i w:val="0"/>
                <w:color w:val="232830"/>
                <w:sz w:val="16"/>
              </w:rPr>
              <w:t>Yes</w:t>
            </w:r>
          </w:p>
        </w:tc>
        <w:tc>
          <w:tcPr>
            <w:tcW w:type="dxa" w:w="2592"/>
            <w:shd w:val="clear" w:fill="EDF2FA"/>
          </w:tcPr>
          <w:p>
            <w:r>
              <w:rPr>
                <w:rFonts w:ascii="Arial" w:hAnsi="Arial"/>
                <w:b w:val="0"/>
                <w:i w:val="0"/>
                <w:color w:val="232830"/>
                <w:sz w:val="16"/>
              </w:rPr>
              <w:t>Retain. Documented, hemoglobin stable at 9.8.</w:t>
            </w:r>
          </w:p>
        </w:tc>
      </w:tr>
      <w:tr>
        <w:tc>
          <w:tcPr>
            <w:tcW w:type="dxa" w:w="2592"/>
          </w:tcPr>
          <w:p>
            <w:r>
              <w:rPr>
                <w:rFonts w:ascii="Arial" w:hAnsi="Arial"/>
                <w:b w:val="0"/>
                <w:i w:val="0"/>
                <w:color w:val="232830"/>
                <w:sz w:val="16"/>
              </w:rPr>
              <w:t>Peripheral arterial disease</w:t>
            </w:r>
          </w:p>
        </w:tc>
        <w:tc>
          <w:tcPr>
            <w:tcW w:type="dxa" w:w="2592"/>
          </w:tcPr>
          <w:p>
            <w:r>
              <w:rPr>
                <w:rFonts w:ascii="Arial" w:hAnsi="Arial"/>
                <w:b w:val="0"/>
                <w:i w:val="0"/>
                <w:color w:val="232830"/>
                <w:sz w:val="16"/>
              </w:rPr>
              <w:t>PAD</w:t>
            </w:r>
          </w:p>
        </w:tc>
        <w:tc>
          <w:tcPr>
            <w:tcW w:type="dxa" w:w="2592"/>
          </w:tcPr>
          <w:p>
            <w:r>
              <w:rPr>
                <w:rFonts w:ascii="Arial" w:hAnsi="Arial"/>
                <w:b w:val="0"/>
                <w:i w:val="0"/>
                <w:color w:val="232830"/>
                <w:sz w:val="16"/>
              </w:rPr>
              <w:t>Yes</w:t>
            </w:r>
          </w:p>
        </w:tc>
        <w:tc>
          <w:tcPr>
            <w:tcW w:type="dxa" w:w="2592"/>
          </w:tcPr>
          <w:p>
            <w:r>
              <w:rPr>
                <w:rFonts w:ascii="Arial" w:hAnsi="Arial"/>
                <w:b w:val="0"/>
                <w:i w:val="0"/>
                <w:color w:val="232830"/>
                <w:sz w:val="16"/>
              </w:rPr>
              <w:t>Retain. Documented; relevant to the limb threat.</w:t>
            </w:r>
          </w:p>
        </w:tc>
      </w:tr>
    </w:tbl>
    <w:p/>
    <w:p>
      <w:r>
        <w:rPr>
          <w:rFonts w:ascii="Arial" w:hAnsi="Arial"/>
          <w:b w:val="0"/>
          <w:i w:val="0"/>
          <w:color w:val="232830"/>
          <w:sz w:val="19"/>
        </w:rPr>
        <w:t>I attest only to what the treating record establishes and sequence the principal diagnosis to the condition that occasioned the admission. I do not adopt Pathway A, do not leave it pending for HIM choice, and do not preserve the renal failure DRG as an alternate signable pathway.</w:t>
      </w:r>
    </w:p>
    <w:p>
      <w:pPr>
        <w:spacing w:before="180" w:after="60"/>
        <w:pBdr>
          <w:bottom w:val="single" w:sz="6" w:color="C9D4EA" w:space="2"/>
        </w:pBdr>
      </w:pPr>
      <w:r>
        <w:rPr>
          <w:rFonts w:ascii="Arial" w:hAnsi="Arial"/>
          <w:b/>
          <w:i w:val="0"/>
          <w:color w:val="4472C4"/>
          <w:sz w:val="20"/>
        </w:rPr>
        <w:t>FLAGS FOR PHYSICIAN BEFORE SIGN</w:t>
      </w:r>
    </w:p>
    <w:p>
      <w:pPr>
        <w:pStyle w:val="ListBullet"/>
        <w:spacing w:after="30"/>
      </w:pPr>
      <w:r>
        <w:rPr>
          <w:rFonts w:ascii="Arial" w:hAnsi="Arial"/>
          <w:b w:val="0"/>
          <w:i w:val="0"/>
          <w:color w:val="232830"/>
          <w:sz w:val="19"/>
        </w:rPr>
        <w:t>Final code selection, sequencing, and DRG assignment per official coding guidelines and the coder's review.</w:t>
      </w:r>
    </w:p>
    <w:p>
      <w:pPr>
        <w:pStyle w:val="ListBullet"/>
        <w:spacing w:after="30"/>
      </w:pPr>
      <w:r>
        <w:rPr>
          <w:rFonts w:ascii="Arial" w:hAnsi="Arial"/>
          <w:b w:val="0"/>
          <w:i w:val="0"/>
          <w:color w:val="232830"/>
          <w:sz w:val="19"/>
        </w:rPr>
        <w:t>Laterality and specificity characters per the documentation.</w:t>
      </w:r>
    </w:p>
    <w:p>
      <w:pPr>
        <w:spacing w:before="200"/>
        <w:pBdr>
          <w:top w:val="single" w:sz="4" w:color="C9D4EA" w:space="4"/>
        </w:pBdr>
      </w:pPr>
      <w:r>
        <w:rPr>
          <w:rFonts w:ascii="Arial" w:hAnsi="Arial"/>
          <w:b w:val="0"/>
          <w:i/>
          <w:color w:val="5E6670"/>
          <w:sz w:val="18"/>
        </w:rPr>
        <w:t>Electronically signed by Lillian Everet, MD | Hospital Medicine | 05/22/2026 0900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PHYSICIAN CODING ATTESTATION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PHYSICIAN CODING ATTESTATION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PHYSICIAN CODING ATTESTATION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