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05/27/2026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Physician Response to Clinical Documentation Query</w:t>
            </w:r>
          </w:p>
        </w:tc>
      </w:tr>
    </w:tbl>
    <w:p/>
    <w:p>
      <w:r>
        <w:rPr>
          <w:rFonts w:ascii="Arial" w:hAnsi="Arial"/>
          <w:b/>
          <w:i w:val="0"/>
          <w:color w:val="1F3864"/>
          <w:sz w:val="28"/>
        </w:rPr>
        <w:t>PHYSICIAN RESPONSE TO CLINICAL DOCUMENTATION QUERY</w:t>
      </w:r>
    </w:p>
    <w:p>
      <w:r>
        <w:rPr>
          <w:rFonts w:ascii="Arial" w:hAnsi="Arial"/>
          <w:b w:val="0"/>
          <w:i w:val="0"/>
          <w:color w:val="5E6670"/>
          <w:sz w:val="16"/>
        </w:rPr>
        <w:t>Author: Elian Vossmere, MD  |  Hospital Medicine  |  05/27/2026  |  Status: Signed</w:t>
      </w:r>
    </w:p>
    <w:p>
      <w:pPr>
        <w:spacing w:before="180" w:after="60"/>
        <w:pBdr>
          <w:bottom w:val="single" w:sz="6" w:color="C9D4EA" w:space="2"/>
        </w:pBdr>
      </w:pPr>
      <w:r>
        <w:rPr>
          <w:rFonts w:ascii="Arial" w:hAnsi="Arial"/>
          <w:b/>
          <w:i w:val="0"/>
          <w:color w:val="4472C4"/>
          <w:sz w:val="20"/>
        </w:rPr>
        <w:t>Response to clinical documentation query of 05/26/2026</w:t>
      </w:r>
    </w:p>
    <w:p>
      <w:r>
        <w:rPr>
          <w:rFonts w:ascii="Arial" w:hAnsi="Arial"/>
          <w:b w:val="0"/>
          <w:i w:val="0"/>
          <w:color w:val="232830"/>
          <w:sz w:val="19"/>
        </w:rPr>
        <w:t>Korvin Merrow, MRN KM-6427819, admission 05/18/2026 to 05/24/2026. Responses below are mine and reflect the contemporaneous record. Dated 05/27/2026.</w:t>
      </w:r>
    </w:p>
    <w:p>
      <w:pPr>
        <w:spacing w:before="180" w:after="60"/>
        <w:pBdr>
          <w:bottom w:val="single" w:sz="6" w:color="C9D4EA" w:space="2"/>
        </w:pBdr>
      </w:pPr>
      <w:r>
        <w:rPr>
          <w:rFonts w:ascii="Arial" w:hAnsi="Arial"/>
          <w:b/>
          <w:i w:val="0"/>
          <w:color w:val="4472C4"/>
          <w:sz w:val="20"/>
        </w:rPr>
        <w:t>Item 1 - CKD staging: affirmed</w:t>
      </w:r>
    </w:p>
    <w:p>
      <w:r>
        <w:rPr>
          <w:rFonts w:ascii="Arial" w:hAnsi="Arial"/>
          <w:b w:val="0"/>
          <w:i w:val="0"/>
          <w:color w:val="232830"/>
          <w:sz w:val="19"/>
        </w:rPr>
        <w:t>Confirmed. Baseline chronic kidney disease stage 3 (baseline creatinine 1.6 to 1.8, eGFR 40 to 50, documented by nephrology and the outpatient record) with a superimposed acute kidney injury that resolved to baseline by laboratory criteria before discharge. Acute-on-chronic relationship is correct for specificity.</w:t>
      </w:r>
    </w:p>
    <w:p>
      <w:pPr>
        <w:spacing w:before="180" w:after="60"/>
        <w:pBdr>
          <w:bottom w:val="single" w:sz="6" w:color="C9D4EA" w:space="2"/>
        </w:pBdr>
      </w:pPr>
      <w:r>
        <w:rPr>
          <w:rFonts w:ascii="Arial" w:hAnsi="Arial"/>
          <w:b/>
          <w:i w:val="0"/>
          <w:color w:val="4472C4"/>
          <w:sz w:val="20"/>
        </w:rPr>
        <w:t>Item 2 - metabolic encephalopathy: declined on clinical grounds</w:t>
      </w:r>
    </w:p>
    <w:p>
      <w:r>
        <w:rPr>
          <w:rFonts w:ascii="Arial" w:hAnsi="Arial"/>
          <w:b w:val="0"/>
          <w:i w:val="0"/>
          <w:color w:val="232830"/>
          <w:sz w:val="19"/>
        </w:rPr>
        <w:t>My team assessed and documented the patient's altered mental status throughout the admission. We characterized it as altered baseline mental status with functional decline, explicitly multifactorial, with infection physiology, dehydration, medication effects, and limited baseline reserve all contributing, and we did not identify a single metabolic derangement as its cause. It was mild and intermittent, predominantly evening confusion, and it improved steadily as the infection, volume status, and renal function recovered. By hospital day 3 the cognitive findings were reframed and managed as a functional and cognitive readiness issue through physical and occupational therapy, with executive slowing under complexity rather than an acute neurologic syndrome. No encephalopathy-directed workup was undertaken, no neurology consultation was obtained, and no treatment was directed at an encephalopathy. The indicators the query cites are real, but in this course they reflect a multifactorial, improving, symptom-level alteration in a medically complex patient, not a distinct toxic-metabolic encephalopathy. I am keeping the documentation at the level my team assessed and recorded. If the program wishes to capture cognitive and functional risk, the supported vehicle is the documented functional and cognitive findings, not an encephalopathy diagnosis the contemporaneous assessment does not establish.</w:t>
      </w:r>
    </w:p>
    <w:p>
      <w:pPr>
        <w:spacing w:before="180" w:after="60"/>
        <w:pBdr>
          <w:bottom w:val="single" w:sz="6" w:color="C9D4EA" w:space="2"/>
        </w:pBdr>
      </w:pPr>
      <w:r>
        <w:rPr>
          <w:rFonts w:ascii="Arial" w:hAnsi="Arial"/>
          <w:b/>
          <w:i w:val="0"/>
          <w:color w:val="4472C4"/>
          <w:sz w:val="20"/>
        </w:rPr>
        <w:t>Item 3 - protein-calorie malnutrition: declined</w:t>
      </w:r>
    </w:p>
    <w:p>
      <w:r>
        <w:rPr>
          <w:rFonts w:ascii="Arial" w:hAnsi="Arial"/>
          <w:b w:val="0"/>
          <w:i w:val="0"/>
          <w:color w:val="232830"/>
          <w:sz w:val="19"/>
        </w:rPr>
        <w:t>I am not adding this diagnosis. Poor intake and functional decline are documented narratively, but no malnutrition criteria are documented: no anthropometrics, no severity assessment, and no dietitian evaluation appear in the record. If nutrition-risk capture matters for future encounters, I support a prospective nutrition assessment pathway at admission; I will not document a severity-staged diagnosis the record does not support.</w:t>
      </w:r>
    </w:p>
    <w:p>
      <w:r>
        <w:rPr>
          <w:rFonts w:ascii="Arial" w:hAnsi="Arial"/>
          <w:b w:val="0"/>
          <w:i w:val="0"/>
          <w:color w:val="232830"/>
          <w:sz w:val="19"/>
        </w:rPr>
        <w:t>Filed as an addendum to the encounter record.</w:t>
      </w:r>
    </w:p>
    <w:p>
      <w:pPr>
        <w:spacing w:before="200"/>
        <w:pBdr>
          <w:top w:val="single" w:sz="4" w:color="C9D4EA" w:space="4"/>
        </w:pBdr>
      </w:pPr>
      <w:r>
        <w:rPr>
          <w:rFonts w:ascii="Arial" w:hAnsi="Arial"/>
          <w:b w:val="0"/>
          <w:i/>
          <w:color w:val="5E6670"/>
          <w:sz w:val="18"/>
        </w:rPr>
        <w:t>Electronically signed by Elian Vossmere, MD | Hospital Medicine, 5 West Medical</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Physician Response to Clinical Documentation Query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