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Transition Documentation, Acute Care Discharge Planning,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06/13/2025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06/19/2025,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ten approved workflows across eight structural categories, with Task 1 as the integration anchor.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P2.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Corrective-Action Safety Review</w:t>
      </w:r>
    </w:p>
    <w:p>
      <w:pPr/>
      <w:r>
        <w:rPr>
          <w:color w:val="262B33"/>
          <w:sz w:val="16"/>
        </w:rPr>
        <w:t>Capability: investigation with a system-versus-individual attribution judgment.</w:t>
      </w:r>
    </w:p>
    <w:p>
      <w:pPr/>
      <w:r>
        <w:rPr>
          <w:color w:val="262B33"/>
          <w:sz w:val="16"/>
        </w:rPr>
        <w:t>Workflow: Corrective Action Plan (CAP) Development and Tracking,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corrective-action plan after a heart-failure readmission, with a root-cause attribution and tracked corrective actions, each with an owner and a measure. Format: a structured corrective-action plan.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corrective-action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2026-06-20):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 Anchors Task 4 held-agent deferred-restart trap</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 Anchors Task 1 exertional-oxygen trap</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 Anchors Task 1 oxygen teach-back trap</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 Anchors Task 5 equipment-arranged-versus-delivered trap</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 Anchors Task 2 reconcile-to-active-record trap</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 Anchors Task 2 renal-dose-timing trap</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 Anchors Task 3 volume-read-as-readiness trap</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 Anchors Task 3 volume-versus-readiness trap</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 Anchors Task 1 reassuring-resting-saturation trap</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Writer-produced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 Anchors Task 4 held-agent silent-resume trap</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 Anchors Task 5 duplicate-anticoagulant trap</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 Anchors Task 5 portable-oxygen-undelivered trap</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 Anchors Task 9 baseline-comparator trap</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 Anchors Task 7 home-support-overstated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redesigned tasks fit the same rule: Task 4 reviews a complete signed note for two realistic, documented resident errors and Task 6 is authored in full from the chart, so neither rests on a planted falsehood.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