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Care Management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/ Anchor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HD5-HD6 through 05/23/2026 18:00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Source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Case Management / Social Work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Home support / equipment logistics reference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rFonts w:ascii="Arial" w:hAnsi="Arial"/>
          <w:b/>
          <w:i w:val="0"/>
          <w:color w:val="1F3864"/>
          <w:sz w:val="28"/>
        </w:rPr>
        <w:t>HOME SUPPORT / EQUIPMENT LOGISTICS REFERENCE</w:t>
      </w:r>
    </w:p>
    <w:p>
      <w:pPr>
        <w:spacing w:after="120"/>
      </w:pPr>
      <w:r>
        <w:rPr>
          <w:rFonts w:ascii="Arial" w:hAnsi="Arial"/>
          <w:b w:val="0"/>
          <w:i w:val="0"/>
          <w:color w:val="5E6670"/>
          <w:sz w:val="16"/>
        </w:rPr>
        <w:t>Author: Case Management / Social Work  |  Department: Care Management  |  HD5-HD6 through 05/23/2026 18:00  | 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HOME SUPPORT / EQUIPMENT LOGISTICS REFERENCE</w:t>
      </w:r>
    </w:p>
    <w:p>
      <w:r>
        <w:rPr>
          <w:rFonts w:ascii="Arial" w:hAnsi="Arial"/>
          <w:b w:val="0"/>
          <w:i w:val="0"/>
          <w:color w:val="232830"/>
          <w:sz w:val="19"/>
        </w:rPr>
        <w:t>Patient: Korvin Merrow</w:t>
      </w:r>
    </w:p>
    <w:p>
      <w:r>
        <w:rPr>
          <w:rFonts w:ascii="Arial" w:hAnsi="Arial"/>
          <w:b w:val="0"/>
          <w:i w:val="0"/>
          <w:color w:val="232830"/>
          <w:sz w:val="19"/>
        </w:rPr>
        <w:t>Source type: Case Management / Social Work supplementary logistics reference</w:t>
      </w:r>
    </w:p>
    <w:p>
      <w:r>
        <w:rPr>
          <w:rFonts w:ascii="Arial" w:hAnsi="Arial"/>
          <w:b w:val="0"/>
          <w:i w:val="0"/>
          <w:color w:val="232830"/>
          <w:sz w:val="19"/>
        </w:rPr>
        <w:t>Documentation window: HD5-HD6 before world close</w:t>
      </w:r>
    </w:p>
    <w:p>
      <w:r>
        <w:rPr>
          <w:rFonts w:ascii="Arial" w:hAnsi="Arial"/>
          <w:b w:val="0"/>
          <w:i w:val="0"/>
          <w:color w:val="232830"/>
          <w:sz w:val="19"/>
        </w:rPr>
        <w:t>This file tracks low-stakes transition logistics under discussion before world close. It is not a discharge order, final home-care plan, final equipment authorization, final disposition decision, or answer file.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LOGISTICS ITEMS UNDER REVIEW</w:t>
      </w:r>
    </w:p>
    <w:p>
      <w:r>
        <w:rPr>
          <w:rFonts w:ascii="Arial" w:hAnsi="Arial"/>
          <w:b w:val="0"/>
          <w:i w:val="0"/>
          <w:color w:val="232830"/>
          <w:sz w:val="19"/>
        </w:rPr>
        <w:t>Case Management / Social Work documented logistics questions that remain relevant if discharge planning continues.</w:t>
      </w:r>
    </w:p>
    <w:p>
      <w:r>
        <w:rPr>
          <w:rFonts w:ascii="Arial" w:hAnsi="Arial"/>
          <w:b w:val="0"/>
          <w:i w:val="0"/>
          <w:color w:val="232830"/>
          <w:sz w:val="19"/>
        </w:rPr>
        <w:t>Items under review before world close: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whether family supervision is available at the level ultimately recommended by the clinical team;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whether the existing intermittent cane-use pattern remains sufficient or therapy recommends a more consistent device plan;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whether home health nursing, home PT/OT, outpatient therapy, or another support pathway is feasible if ordered;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whether medication education can occur with family present before a discharge plan is finalized;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whether transportation and follow-up logistics are feasible if discharge proceeds.</w:t>
      </w:r>
    </w:p>
    <w:p>
      <w:r>
        <w:rPr>
          <w:rFonts w:ascii="Arial" w:hAnsi="Arial"/>
          <w:b w:val="0"/>
          <w:i w:val="0"/>
          <w:color w:val="232830"/>
          <w:sz w:val="19"/>
        </w:rPr>
        <w:t>No item in this reference is documented as fully authorized, completed, or sufficient by itself.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RELATIONSHIP TO EXISTING WORLD EVIDENCE</w:t>
      </w:r>
    </w:p>
    <w:p>
      <w:r>
        <w:rPr>
          <w:rFonts w:ascii="Arial" w:hAnsi="Arial"/>
          <w:b w:val="0"/>
          <w:i w:val="0"/>
          <w:color w:val="232830"/>
          <w:sz w:val="19"/>
        </w:rPr>
        <w:t>WS3 supports transition-planning texture only.</w:t>
      </w:r>
    </w:p>
    <w:p>
      <w:r>
        <w:rPr>
          <w:rFonts w:ascii="Arial" w:hAnsi="Arial"/>
          <w:b w:val="0"/>
          <w:i w:val="0"/>
          <w:color w:val="232830"/>
          <w:sz w:val="19"/>
        </w:rPr>
        <w:t>It must be read against stronger and more clinically specific sources: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EW17 nursing observations;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EW18 Physical Therapy assessment;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EW19 Occupational Therapy assessment;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EW20 family communication;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EW21 Case Management / Social Work discharge-planning note;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EW22 discharge-facing plan snapshot before world close;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relevant task-context files if surfaced later.</w:t>
      </w:r>
    </w:p>
    <w:p>
      <w:r>
        <w:rPr>
          <w:rFonts w:ascii="Arial" w:hAnsi="Arial"/>
          <w:b w:val="0"/>
          <w:i w:val="0"/>
          <w:color w:val="232830"/>
          <w:sz w:val="19"/>
        </w:rPr>
        <w:t>WS3 does not replace those files.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FAMILY / TEAM CONTEXT</w:t>
      </w:r>
    </w:p>
    <w:p>
      <w:r>
        <w:rPr>
          <w:rFonts w:ascii="Arial" w:hAnsi="Arial"/>
          <w:b w:val="0"/>
          <w:i w:val="0"/>
          <w:color w:val="232830"/>
          <w:sz w:val="19"/>
        </w:rPr>
        <w:t>This logistics reference preserves the balance of the Family vs Primary Team friction.</w:t>
      </w:r>
    </w:p>
    <w:p>
      <w:r>
        <w:rPr>
          <w:rFonts w:ascii="Arial" w:hAnsi="Arial"/>
          <w:b w:val="0"/>
          <w:i w:val="0"/>
          <w:color w:val="232830"/>
          <w:sz w:val="19"/>
        </w:rPr>
        <w:t>Family position remains defensible because family is concerned about baseline function, supervision needs, medication changes, and first-days-at-home support.</w:t>
      </w:r>
    </w:p>
    <w:p>
      <w:r>
        <w:rPr>
          <w:rFonts w:ascii="Arial" w:hAnsi="Arial"/>
          <w:b w:val="0"/>
          <w:i w:val="0"/>
          <w:color w:val="232830"/>
          <w:sz w:val="19"/>
        </w:rPr>
        <w:t>Primary Team position remains defensible because Korvin has improved medically and discharge planning can reasonably be explored if final checks align.</w:t>
      </w:r>
    </w:p>
    <w:p>
      <w:r>
        <w:rPr>
          <w:rFonts w:ascii="Arial" w:hAnsi="Arial"/>
          <w:b w:val="0"/>
          <w:i w:val="0"/>
          <w:color w:val="232830"/>
          <w:sz w:val="19"/>
        </w:rPr>
        <w:t>This file does not decide which position is correct.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TRAP #5 SECONDARY SUPPORT</w:t>
      </w:r>
    </w:p>
    <w:p>
      <w:r>
        <w:rPr>
          <w:rFonts w:ascii="Arial" w:hAnsi="Arial"/>
          <w:b w:val="0"/>
          <w:i w:val="0"/>
          <w:color w:val="232830"/>
          <w:sz w:val="19"/>
        </w:rPr>
        <w:t>WS3 may support Trap #5 only secondarily.</w:t>
      </w:r>
    </w:p>
    <w:p>
      <w:r>
        <w:rPr>
          <w:rFonts w:ascii="Arial" w:hAnsi="Arial"/>
          <w:b w:val="0"/>
          <w:i w:val="0"/>
          <w:color w:val="232830"/>
          <w:sz w:val="19"/>
        </w:rPr>
        <w:t>It adds logistical texture around discharge planning, but it is not the visible discharge-facing artifact and not a complete discharge plan.</w:t>
      </w:r>
    </w:p>
    <w:p>
      <w:r>
        <w:rPr>
          <w:rFonts w:ascii="Arial" w:hAnsi="Arial"/>
          <w:b w:val="0"/>
          <w:i w:val="0"/>
          <w:color w:val="232830"/>
          <w:sz w:val="19"/>
        </w:rPr>
        <w:t>EW22 remains the visible, reassuring but incomplete discharge-facing source. WS3 must not complete EW22.</w:t>
      </w:r>
    </w:p>
    <w:p>
      <w:r>
        <w:rPr>
          <w:rFonts w:ascii="Arial" w:hAnsi="Arial"/>
          <w:b w:val="0"/>
          <w:i w:val="0"/>
          <w:color w:val="232830"/>
          <w:sz w:val="19"/>
        </w:rPr>
        <w:t>A safe interpretation still requires reconciliation across consultants, objective trends, MAR/action evidence, nursing, PT/OT, family communication, case management/social work, and hospitalist synthesis.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GUARDRAILS</w:t>
      </w:r>
    </w:p>
    <w:p>
      <w:r>
        <w:rPr>
          <w:rFonts w:ascii="Arial" w:hAnsi="Arial"/>
          <w:b w:val="0"/>
          <w:i w:val="0"/>
          <w:color w:val="232830"/>
          <w:sz w:val="19"/>
        </w:rPr>
        <w:t>WS3 must not become a discharge-answer file.</w:t>
      </w:r>
    </w:p>
    <w:p>
      <w:r>
        <w:rPr>
          <w:rFonts w:ascii="Arial" w:hAnsi="Arial"/>
          <w:b w:val="0"/>
          <w:i w:val="0"/>
          <w:color w:val="232830"/>
          <w:sz w:val="19"/>
        </w:rPr>
        <w:t>It must not: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determine safe discharge;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determine unsafe discharge;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finalize home services;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finalize equipment;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resolve family concern;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prove Primary Team negligence;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replace EW21 or EW22;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carry sole critical evidence;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add post-world outcomes.</w:t>
      </w:r>
    </w:p>
    <w:p>
      <w:r>
        <w:rPr>
          <w:rFonts w:ascii="Arial" w:hAnsi="Arial"/>
          <w:b w:val="0"/>
          <w:i w:val="0"/>
          <w:color w:val="232830"/>
          <w:sz w:val="19"/>
        </w:rPr>
        <w:t>No discharge outcome, +7 follow-up information, +30 follow-up information, task prompt, expected output, golden response, grader guidance, AutoQC response, DOCX artifact, or submission material is present.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Case Management / Social Work  |  Care Management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Home support / equipment logistics reference  |  Synthetic training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  |  DOB 02/18/1964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