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05/20/2026 / HD3</w:t>
            </w:r>
          </w:p>
        </w:tc>
        <w:tc>
          <w:tcPr>
            <w:tcW w:type="dxa" w:w="2592"/>
            <w:shd w:val="clear" w:fill="EDF2FA"/>
          </w:tcPr>
          <w:p>
            <w:r>
              <w:rPr>
                <w:rFonts w:ascii="Arial" w:hAnsi="Arial"/>
                <w:b/>
                <w:i w:val="0"/>
                <w:color w:val="5E6670"/>
                <w:sz w:val="14"/>
              </w:rPr>
              <w:t>Source</w:t>
              <w:br/>
            </w:r>
            <w:r>
              <w:rPr>
                <w:rFonts w:ascii="Arial" w:hAnsi="Arial"/>
                <w:b w:val="0"/>
                <w:i w:val="0"/>
                <w:color w:val="232830"/>
                <w:sz w:val="16"/>
              </w:rPr>
              <w:t>Hospitalist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HD3 hospitalist progress documentation</w:t>
            </w:r>
          </w:p>
        </w:tc>
      </w:tr>
    </w:tbl>
    <w:p>
      <w:pPr>
        <w:spacing w:after="0"/>
      </w:pPr>
    </w:p>
    <w:p>
      <w:pPr>
        <w:spacing w:after="20"/>
      </w:pPr>
      <w:r>
        <w:rPr>
          <w:rFonts w:ascii="Arial" w:hAnsi="Arial"/>
          <w:b/>
          <w:i w:val="0"/>
          <w:color w:val="1F3864"/>
          <w:sz w:val="28"/>
        </w:rPr>
        <w:t>HD3 HOSPITALIST PROGRESS DOCUMENTATION</w:t>
      </w:r>
    </w:p>
    <w:p>
      <w:pPr>
        <w:spacing w:after="120"/>
      </w:pPr>
      <w:r>
        <w:rPr>
          <w:rFonts w:ascii="Arial" w:hAnsi="Arial"/>
          <w:b w:val="0"/>
          <w:i w:val="0"/>
          <w:color w:val="5E6670"/>
          <w:sz w:val="16"/>
        </w:rPr>
        <w:t>Author: Hospitalist Service  |  Department: Hospital Medicine  |  05/20/2026 / HD3  |  Status: Signed</w:t>
      </w:r>
    </w:p>
    <w:p>
      <w:pPr>
        <w:spacing w:before="180" w:after="60"/>
        <w:pBdr>
          <w:bottom w:val="single" w:sz="6" w:color="C9D4EA" w:space="2"/>
        </w:pBdr>
      </w:pPr>
      <w:r>
        <w:rPr>
          <w:rFonts w:ascii="Arial" w:hAnsi="Arial"/>
          <w:b/>
          <w:i w:val="0"/>
          <w:color w:val="4472C4"/>
          <w:sz w:val="20"/>
        </w:rPr>
        <w:t>HOSPITALIST PROGRESS DOCUMENTATION</w:t>
      </w:r>
    </w:p>
    <w:p>
      <w:r>
        <w:rPr>
          <w:rFonts w:ascii="Arial" w:hAnsi="Arial"/>
          <w:b w:val="0"/>
          <w:i w:val="0"/>
          <w:color w:val="232830"/>
          <w:sz w:val="19"/>
        </w:rPr>
        <w:t>Patient: Korvin Merrow</w:t>
      </w:r>
    </w:p>
    <w:p>
      <w:r>
        <w:rPr>
          <w:rFonts w:ascii="Arial" w:hAnsi="Arial"/>
          <w:b w:val="0"/>
          <w:i w:val="0"/>
          <w:color w:val="232830"/>
          <w:sz w:val="19"/>
        </w:rPr>
        <w:t>Service: Hospitalist Service</w:t>
      </w:r>
    </w:p>
    <w:p>
      <w:r>
        <w:rPr>
          <w:rFonts w:ascii="Arial" w:hAnsi="Arial"/>
          <w:b w:val="0"/>
          <w:i w:val="0"/>
          <w:color w:val="232830"/>
          <w:sz w:val="19"/>
        </w:rPr>
        <w:t>Hospital Day: HD3</w:t>
      </w:r>
    </w:p>
    <w:p>
      <w:r>
        <w:rPr>
          <w:rFonts w:ascii="Arial" w:hAnsi="Arial"/>
          <w:b w:val="0"/>
          <w:i w:val="0"/>
          <w:color w:val="232830"/>
          <w:sz w:val="19"/>
        </w:rPr>
        <w:t>Date: 05/20/2026</w:t>
      </w:r>
    </w:p>
    <w:p>
      <w:pPr>
        <w:spacing w:before="180" w:after="60"/>
        <w:pBdr>
          <w:bottom w:val="single" w:sz="6" w:color="C9D4EA" w:space="2"/>
        </w:pBdr>
      </w:pPr>
      <w:r>
        <w:rPr>
          <w:rFonts w:ascii="Arial" w:hAnsi="Arial"/>
          <w:b/>
          <w:i w:val="0"/>
          <w:color w:val="4472C4"/>
          <w:sz w:val="20"/>
        </w:rPr>
        <w:t>SUBJECTIVE / INTERVAL CONTEXT</w:t>
      </w:r>
    </w:p>
    <w:p>
      <w:r>
        <w:rPr>
          <w:rFonts w:ascii="Arial" w:hAnsi="Arial"/>
          <w:b w:val="0"/>
          <w:i w:val="0"/>
          <w:color w:val="232830"/>
          <w:sz w:val="19"/>
        </w:rPr>
        <w:t>Korvin reports feeling "a little better" compared with admission. He is eating more than on arrival but still tires quickly. He remains uncertain when asked detailed questions about recent medication use and prednisone taper instructions.</w:t>
      </w:r>
    </w:p>
    <w:p>
      <w:r>
        <w:rPr>
          <w:rFonts w:ascii="Arial" w:hAnsi="Arial"/>
          <w:b w:val="0"/>
          <w:i w:val="0"/>
          <w:color w:val="232830"/>
          <w:sz w:val="19"/>
        </w:rPr>
        <w:t>Mara Merrow says Korvin looks better than he did in the ED but is still not acting like his usual self. She notes he is slower to organize simple tasks, needs more prompting, and has not demonstrated the level of independent mobility she would expect at home.</w:t>
      </w:r>
    </w:p>
    <w:p>
      <w:pPr>
        <w:spacing w:before="180" w:after="60"/>
        <w:pBdr>
          <w:bottom w:val="single" w:sz="6" w:color="C9D4EA" w:space="2"/>
        </w:pBdr>
      </w:pPr>
      <w:r>
        <w:rPr>
          <w:rFonts w:ascii="Arial" w:hAnsi="Arial"/>
          <w:b/>
          <w:i w:val="0"/>
          <w:color w:val="4472C4"/>
          <w:sz w:val="20"/>
        </w:rPr>
        <w:t>CLINICAL COURSE</w:t>
      </w:r>
    </w:p>
    <w:p>
      <w:r>
        <w:rPr>
          <w:rFonts w:ascii="Arial" w:hAnsi="Arial"/>
          <w:b w:val="0"/>
          <w:i w:val="0"/>
          <w:color w:val="232830"/>
          <w:sz w:val="19"/>
        </w:rPr>
        <w:t>The acute infection-oriented treatment course appears to be helping, but improvement is partial. The team continues to view suspected urinary-source infection as a reasonable part of the presentation while avoiding premature closure.</w:t>
      </w:r>
    </w:p>
    <w:p>
      <w:r>
        <w:rPr>
          <w:rFonts w:ascii="Arial" w:hAnsi="Arial"/>
          <w:b w:val="0"/>
          <w:i w:val="0"/>
          <w:color w:val="232830"/>
          <w:sz w:val="19"/>
        </w:rPr>
        <w:t>Active inpatient issues:</w:t>
      </w:r>
    </w:p>
    <w:p>
      <w:pPr>
        <w:pStyle w:val="ListBullet"/>
        <w:spacing w:after="30"/>
      </w:pPr>
      <w:r>
        <w:rPr>
          <w:rFonts w:ascii="Arial" w:hAnsi="Arial"/>
          <w:b w:val="0"/>
          <w:i w:val="0"/>
          <w:color w:val="232830"/>
          <w:sz w:val="19"/>
        </w:rPr>
        <w:t>Improving suspected infection physiology.</w:t>
      </w:r>
    </w:p>
    <w:p>
      <w:pPr>
        <w:pStyle w:val="ListBullet"/>
        <w:spacing w:after="30"/>
      </w:pPr>
      <w:r>
        <w:rPr>
          <w:rFonts w:ascii="Arial" w:hAnsi="Arial"/>
          <w:b w:val="0"/>
          <w:i w:val="0"/>
          <w:color w:val="232830"/>
          <w:sz w:val="19"/>
        </w:rPr>
        <w:t>AKI-on-CKD improving but still relevant to medication decisions.</w:t>
      </w:r>
    </w:p>
    <w:p>
      <w:pPr>
        <w:pStyle w:val="ListBullet"/>
        <w:spacing w:after="30"/>
      </w:pPr>
      <w:r>
        <w:rPr>
          <w:rFonts w:ascii="Arial" w:hAnsi="Arial"/>
          <w:b w:val="0"/>
          <w:i w:val="0"/>
          <w:color w:val="232830"/>
          <w:sz w:val="19"/>
        </w:rPr>
        <w:t>Oral intake improving but not fully reliable.</w:t>
      </w:r>
    </w:p>
    <w:p>
      <w:pPr>
        <w:pStyle w:val="ListBullet"/>
        <w:spacing w:after="30"/>
      </w:pPr>
      <w:r>
        <w:rPr>
          <w:rFonts w:ascii="Arial" w:hAnsi="Arial"/>
          <w:b w:val="0"/>
          <w:i w:val="0"/>
          <w:color w:val="232830"/>
          <w:sz w:val="19"/>
        </w:rPr>
        <w:t>Weakness and unsteadiness persist after initial stabilization.</w:t>
      </w:r>
    </w:p>
    <w:p>
      <w:pPr>
        <w:pStyle w:val="ListBullet"/>
        <w:spacing w:after="30"/>
      </w:pPr>
      <w:r>
        <w:rPr>
          <w:rFonts w:ascii="Arial" w:hAnsi="Arial"/>
          <w:b w:val="0"/>
          <w:i w:val="0"/>
          <w:color w:val="232830"/>
          <w:sz w:val="19"/>
        </w:rPr>
        <w:t>Cognition is improved from presentation but not clearly back to baseline.</w:t>
      </w:r>
    </w:p>
    <w:p>
      <w:pPr>
        <w:pStyle w:val="ListBullet"/>
        <w:spacing w:after="30"/>
      </w:pPr>
      <w:r>
        <w:rPr>
          <w:rFonts w:ascii="Arial" w:hAnsi="Arial"/>
          <w:b w:val="0"/>
          <w:i w:val="0"/>
          <w:color w:val="232830"/>
          <w:sz w:val="19"/>
        </w:rPr>
        <w:t>Medication restart decisions remain deferred pending trend and consultant context.</w:t>
      </w:r>
    </w:p>
    <w:p>
      <w:pPr>
        <w:pStyle w:val="ListBullet"/>
        <w:spacing w:after="30"/>
      </w:pPr>
      <w:r>
        <w:rPr>
          <w:rFonts w:ascii="Arial" w:hAnsi="Arial"/>
          <w:b w:val="0"/>
          <w:i w:val="0"/>
          <w:color w:val="232830"/>
          <w:sz w:val="19"/>
        </w:rPr>
        <w:t>Prednisone history remains unresolved by active inpatient sources.</w:t>
      </w:r>
    </w:p>
    <w:p>
      <w:pPr>
        <w:spacing w:before="180" w:after="60"/>
        <w:pBdr>
          <w:bottom w:val="single" w:sz="6" w:color="C9D4EA" w:space="2"/>
        </w:pBdr>
      </w:pPr>
      <w:r>
        <w:rPr>
          <w:rFonts w:ascii="Arial" w:hAnsi="Arial"/>
          <w:b/>
          <w:i w:val="0"/>
          <w:color w:val="4472C4"/>
          <w:sz w:val="20"/>
        </w:rPr>
        <w:t>FUNCTIONAL / COGNITIVE SHIFT</w:t>
      </w:r>
    </w:p>
    <w:p>
      <w:r>
        <w:rPr>
          <w:rFonts w:ascii="Arial" w:hAnsi="Arial"/>
          <w:b w:val="0"/>
          <w:i w:val="0"/>
          <w:color w:val="232830"/>
          <w:sz w:val="19"/>
        </w:rPr>
        <w:t>The main change today is that functional and cognitive recovery are becoming harder to treat as minor residual symptoms. Nursing observations and early therapy contact suggest Korvin is not yet at his documented outpatient baseline. These concerns are easy to underweight because the physician-facing medical problems appear to be improving.</w:t>
      </w:r>
    </w:p>
    <w:p>
      <w:r>
        <w:rPr>
          <w:rFonts w:ascii="Arial" w:hAnsi="Arial"/>
          <w:b w:val="0"/>
          <w:i w:val="0"/>
          <w:color w:val="232830"/>
          <w:sz w:val="19"/>
        </w:rPr>
        <w:t>Important observations noted in the hospitalist assessment:</w:t>
      </w:r>
    </w:p>
    <w:p>
      <w:pPr>
        <w:pStyle w:val="ListBullet"/>
        <w:spacing w:after="30"/>
      </w:pPr>
      <w:r>
        <w:rPr>
          <w:rFonts w:ascii="Arial" w:hAnsi="Arial"/>
          <w:b w:val="0"/>
          <w:i w:val="0"/>
          <w:color w:val="232830"/>
          <w:sz w:val="19"/>
        </w:rPr>
        <w:t>Ambulation tolerance remains limited.</w:t>
      </w:r>
    </w:p>
    <w:p>
      <w:pPr>
        <w:pStyle w:val="ListBullet"/>
        <w:spacing w:after="30"/>
      </w:pPr>
      <w:r>
        <w:rPr>
          <w:rFonts w:ascii="Arial" w:hAnsi="Arial"/>
          <w:b w:val="0"/>
          <w:i w:val="0"/>
          <w:color w:val="232830"/>
          <w:sz w:val="19"/>
        </w:rPr>
        <w:t>Transfers require more supervision than family expects at baseline.</w:t>
      </w:r>
    </w:p>
    <w:p>
      <w:pPr>
        <w:pStyle w:val="ListBullet"/>
        <w:spacing w:after="30"/>
      </w:pPr>
      <w:r>
        <w:rPr>
          <w:rFonts w:ascii="Arial" w:hAnsi="Arial"/>
          <w:b w:val="0"/>
          <w:i w:val="0"/>
          <w:color w:val="232830"/>
          <w:sz w:val="19"/>
        </w:rPr>
        <w:t>Cognitive slowing may be improving but still affects medication-history reliability.</w:t>
      </w:r>
    </w:p>
    <w:p>
      <w:pPr>
        <w:pStyle w:val="ListBullet"/>
        <w:spacing w:after="30"/>
      </w:pPr>
      <w:r>
        <w:rPr>
          <w:rFonts w:ascii="Arial" w:hAnsi="Arial"/>
          <w:b w:val="0"/>
          <w:i w:val="0"/>
          <w:color w:val="232830"/>
          <w:sz w:val="19"/>
        </w:rPr>
        <w:t>Family concern is clinically relevant because it compares current status to baseline function.</w:t>
      </w:r>
    </w:p>
    <w:p>
      <w:r>
        <w:rPr>
          <w:rFonts w:ascii="Arial" w:hAnsi="Arial"/>
          <w:b w:val="0"/>
          <w:i w:val="0"/>
          <w:color w:val="232830"/>
          <w:sz w:val="19"/>
        </w:rPr>
        <w:t>This note does not replace future nursing, PT, OT, family, or care-coordination sources. It records that the concern is emerging in the hospitalist frame.</w:t>
      </w:r>
    </w:p>
    <w:p>
      <w:pPr>
        <w:spacing w:before="180" w:after="60"/>
        <w:pBdr>
          <w:bottom w:val="single" w:sz="6" w:color="C9D4EA" w:space="2"/>
        </w:pBdr>
      </w:pPr>
      <w:r>
        <w:rPr>
          <w:rFonts w:ascii="Arial" w:hAnsi="Arial"/>
          <w:b/>
          <w:i w:val="0"/>
          <w:color w:val="4472C4"/>
          <w:sz w:val="20"/>
        </w:rPr>
        <w:t>MEDICATION / CONSULTANT CONTEXT</w:t>
      </w:r>
    </w:p>
    <w:p>
      <w:r>
        <w:rPr>
          <w:rFonts w:ascii="Arial" w:hAnsi="Arial"/>
          <w:b w:val="0"/>
          <w:i w:val="0"/>
          <w:color w:val="232830"/>
          <w:sz w:val="19"/>
        </w:rPr>
        <w:t>The chronic cardiorenal medication plan remains in reassessment mode. Early acute-illness holds cannot simply be copied forward, but full restart is not established by this note. Cardiology and nephrology perspectives may both be relevant as renal/hemodynamic status evolves.</w:t>
      </w:r>
    </w:p>
    <w:p>
      <w:r>
        <w:rPr>
          <w:rFonts w:ascii="Arial" w:hAnsi="Arial"/>
          <w:b w:val="0"/>
          <w:i w:val="0"/>
          <w:color w:val="232830"/>
          <w:sz w:val="19"/>
        </w:rPr>
        <w:t>Prednisone uncertainty remains a source problem, not a completed diagnosis. Patient recollection is not reliable enough to reconstruct the recent taper.</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Korvin is clinically improved compared with admission, but the improvement does not prove that infection explains the entire presentation or that discharge readiness is near. Persistent weakness, cognition, medication complexity, and baseline deviation remain important.</w:t>
      </w:r>
    </w:p>
    <w:p>
      <w:pPr>
        <w:spacing w:before="180" w:after="60"/>
        <w:pBdr>
          <w:bottom w:val="single" w:sz="6" w:color="C9D4EA" w:space="2"/>
        </w:pBdr>
      </w:pPr>
      <w:r>
        <w:rPr>
          <w:rFonts w:ascii="Arial" w:hAnsi="Arial"/>
          <w:b/>
          <w:i w:val="0"/>
          <w:color w:val="4472C4"/>
          <w:sz w:val="20"/>
        </w:rPr>
        <w:t>DISPOSITION</w:t>
      </w:r>
    </w:p>
    <w:p>
      <w:r>
        <w:rPr>
          <w:rFonts w:ascii="Arial" w:hAnsi="Arial"/>
          <w:b w:val="0"/>
          <w:i w:val="0"/>
          <w:color w:val="232830"/>
          <w:sz w:val="19"/>
        </w:rPr>
        <w:t>Not discharge ready on HD3. Continue inpatient monitoring, functional assessment, source review, and medication-safety reassessment.</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file supports Trap #3 by making functional and cognitive concerns visible but not fully elaborated in physician documentation. It does not become the final functional source, final disposition answer, or final discharge plan.</w:t>
      </w:r>
    </w:p>
    <w:p>
      <w:pPr>
        <w:spacing w:before="200"/>
        <w:pBdr>
          <w:top w:val="single" w:sz="4" w:color="C9D4EA" w:space="4"/>
        </w:pBdr>
      </w:pPr>
      <w:r>
        <w:rPr>
          <w:rFonts w:ascii="Arial" w:hAnsi="Arial"/>
          <w:b w:val="0"/>
          <w:i/>
          <w:color w:val="5E6670"/>
          <w:sz w:val="18"/>
        </w:rPr>
        <w:t>Electronically signed by Hospitalist Service  |  Hospital Medicine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HD3 hospitalist progress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