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Pharmacy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HD1-HD6 through 05/23/2026 18:00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 / inpatient medication source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administration / inpatient medication action source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MEDICATION ADMINISTRATION / INPATIENT MEDICATION ACTION SOURCE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MAR / inpatient medication source  |  Department: Pharmacy  |  HD1-HD6 through 05/23/2026 18:00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 ADMINISTRATION / ACTION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Source: MAR / inpatient medication action source.</w:t>
      </w:r>
    </w:p>
    <w:p>
      <w:r>
        <w:rPr>
          <w:rFonts w:ascii="Arial" w:hAnsi="Arial"/>
          <w:b w:val="0"/>
          <w:i w:val="0"/>
          <w:color w:val="232830"/>
          <w:sz w:val="19"/>
        </w:rPr>
        <w:t>This source records inpatient actions. It does not prove outpatient adherence, final discharge appropriateness, or correct restart timing by itself.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 CAVEATS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data show what was administered, held, or reassessed in the hospital.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data do not determine what Korvin actually took at home before admission.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data do not replace verified medication reconciliation, pharmacy history, rheumatology provenance, consultant documentation, or discharge planning.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Inpatient-only medication actions are not baseline outpatient medications unless separately established.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CHRONIC MEDICATION ACTION CATEGORIES THROUGH HD6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 / category</w:t>
            </w:r>
          </w:p>
        </w:tc>
        <w:tc>
          <w:tcPr>
            <w:tcW w:type="dxa" w:w="2592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Baseline role</w:t>
            </w:r>
          </w:p>
        </w:tc>
        <w:tc>
          <w:tcPr>
            <w:tcW w:type="dxa" w:w="2592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Inpatient action pattern through 05/23/2026 18:00</w:t>
            </w:r>
          </w:p>
        </w:tc>
        <w:tc>
          <w:tcPr>
            <w:tcW w:type="dxa" w:w="2592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Reasoning implication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Sacubitril/valsartan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HFrEF guideline-directed therapy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early during AKI/hemodynamic vulnerability; reassessment discussed as renal/hemodynamic trend improved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Central to Cardiology vs Nephrology; early hold is not a final discharge decision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Carvedilol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HFrEF/CAD therapy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Temporarily held or cautiously administered depending on hemodynamic status; not a simple uninterrupted home continuation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timing-sensitive restart reasoning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HFrEF volume management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early with poor intake/volume concern; later reassessment depends on volume and renal interpretation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dehydration versus congestion reasoning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Spironolactone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HFrEF therapy with CKD/electrolyte relevance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during AKI/hyperkalemia-risk period; later reassessment not finalized by MAR alone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renal/potassium safety concerns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HFrEF/diabetes/CKD therapy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during acute illness and poor intake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acute-illness hold/restart complexity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 ER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Type 2 diabetes therapy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during AKI/acute illness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renal and intake-aware medication reconciliation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Basal diabetes therapy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with inpatient adjustment/monitoring rather than copied exactly from home routine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diabetes management complexity and discharge safety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lispro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Inpatient-only glycemic-management action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Used only as inpatient correctional coverage when needed; not a baseline outpatient medication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Preserves inpatient-only logic and avoids baseline medication-count drift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CAD secondary prevention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unless contraindication emerged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protective therapy should not be lost casually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CAD/hyperlipidemia therapy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protective therapy continuity source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Nitroglycerin rescue medication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CAD/angina safety medication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Available as rescue medication if clinically indicated; not used as routine daily therapy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Rescue medications require reconciliation but do not drive acute course alone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Prednisone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PMR/steroid exposure with uncertain taper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Administered under interim inpatient plan while source reconstruction continued; home taper truth remains unresolved by MAR alone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Trap #1 without proving actual pre-admission adherence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Neuropathy symptom control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Reassessed during altered mentation/weakness; may be held or reduced depending on sedation/fall-risk concern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functional/cognitive safety reasoning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GERD/GI protection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Supportive medication burden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Ferrous sulfate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support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or temporarily deferred around acute intake/tolerance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Adds bowel regimen and medication-burden context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Alendronate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Bone-health therapy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Not administered as a routine inpatient priority; remains outpatient chronic therapy to reconcile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Supports steroid-exposure context without proving adrenal issue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Calcium carbonate / vitamin D combination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Bone-health support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if available/tolerated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Supplement reconciliation complexity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Cholecalciferol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Vitamin D maintenance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Continued if available/tolerated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Supplement reconciliation complexity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Polyethylene glycol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Bowel regimen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Used as needed or continued based on bowel pattern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Supportive regimen and discharge instruction complexity</w:t>
            </w:r>
          </w:p>
        </w:tc>
      </w:tr>
      <w:tr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Senna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Bowel regimen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Used as needed or continued based on bowel pattern</w:t>
            </w:r>
          </w:p>
        </w:tc>
        <w:tc>
          <w:tcPr>
            <w:tcW w:type="dxa" w:w="2592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Duplicate/supportive medication reconciliation issue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Pain/supportive medication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Available for pain/fever support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Benign-looking medication burden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DAILY MEDICATION ACTION SPINE</w:t>
      </w:r>
    </w:p>
    <w:p>
      <w:r>
        <w:rPr>
          <w:rFonts w:ascii="Arial" w:hAnsi="Arial"/>
          <w:b w:val="0"/>
          <w:i w:val="0"/>
          <w:color w:val="232830"/>
          <w:sz w:val="19"/>
        </w:rPr>
        <w:t>### HD1-HD2</w:t>
      </w:r>
    </w:p>
    <w:p>
      <w:r>
        <w:rPr>
          <w:rFonts w:ascii="Arial" w:hAnsi="Arial"/>
          <w:b w:val="0"/>
          <w:i w:val="0"/>
          <w:color w:val="232830"/>
          <w:sz w:val="19"/>
        </w:rPr>
        <w:t>The inpatient medication pattern prioritizes acute safety: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renal/hemodynamic-sensitive HFrEF, diabetes, and diuretic medications are held or deferred;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protective therapies that are not driving acute hemodynamic/renal risk are generally continued;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is handled cautiously because home taper/adherence is not verified;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 correctional insulin lispro may be used for glycemic control but is not treated as a baseline medication.</w:t>
      </w:r>
    </w:p>
    <w:p>
      <w:r>
        <w:rPr>
          <w:rFonts w:ascii="Arial" w:hAnsi="Arial"/>
          <w:b w:val="0"/>
          <w:i w:val="0"/>
          <w:color w:val="232830"/>
          <w:sz w:val="19"/>
        </w:rPr>
        <w:t>### HD3-HD4</w:t>
      </w:r>
    </w:p>
    <w:p>
      <w:r>
        <w:rPr>
          <w:rFonts w:ascii="Arial" w:hAnsi="Arial"/>
          <w:b w:val="0"/>
          <w:i w:val="0"/>
          <w:color w:val="232830"/>
          <w:sz w:val="19"/>
        </w:rPr>
        <w:t>As objective trends improve, the medication question shifts from "hold during acute illness" to "what should be safely resumed, when, and under what monitoring?"</w:t>
      </w:r>
    </w:p>
    <w:p>
      <w:r>
        <w:rPr>
          <w:rFonts w:ascii="Arial" w:hAnsi="Arial"/>
          <w:b w:val="0"/>
          <w:i w:val="0"/>
          <w:color w:val="232830"/>
          <w:sz w:val="19"/>
        </w:rPr>
        <w:t>Key caution: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action history shows what happened, not what should happen next.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Rheumatology provenance becomes available by HD4 and helps interpret intended prednisone taper, but MAR still does not prove pre-admission adherence.</w:t>
      </w:r>
    </w:p>
    <w:p>
      <w:r>
        <w:rPr>
          <w:rFonts w:ascii="Arial" w:hAnsi="Arial"/>
          <w:b w:val="0"/>
          <w:i w:val="0"/>
          <w:color w:val="232830"/>
          <w:sz w:val="19"/>
        </w:rPr>
        <w:t>### HD5-HD6 Before 18:00</w:t>
      </w:r>
    </w:p>
    <w:p>
      <w:r>
        <w:rPr>
          <w:rFonts w:ascii="Arial" w:hAnsi="Arial"/>
          <w:b w:val="0"/>
          <w:i w:val="0"/>
          <w:color w:val="232830"/>
          <w:sz w:val="19"/>
        </w:rPr>
        <w:t>Medication reassessment is active because discharge planning is plausible. The MAR supports several competing interpretations: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Cardiology can reasonably worry that HFrEF/CAD protective medications should not be omitted indefinitely.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Nephrology can reasonably worry that renal recovery, potassium, blood pressure, and volume status remain fragile.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Endocrinology can reasonably worry that steroid exposure and taper ambiguity are underweighted.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hospitalist must reconcile actual actions, trends, source hierarchy, consultant timing, and discharge safety.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EW13 is not a discharge medication reconciliation, final medication list, final restart plan, final steroid plan, or answer file. It must be interpreted with EW4, EW5, EW6, EW12, consultant documentation, and discharge-planning sources.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MAR / inpatient medication source  |  Pharmacy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Medication administration / inpatient medication action source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