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Nursing</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HD1-HD6 through 05/23/2026 18:00</w:t>
            </w:r>
          </w:p>
        </w:tc>
        <w:tc>
          <w:tcPr>
            <w:tcW w:type="dxa" w:w="2592"/>
            <w:shd w:val="clear" w:fill="EDF2FA"/>
          </w:tcPr>
          <w:p>
            <w:r>
              <w:rPr>
                <w:rFonts w:ascii="Arial" w:hAnsi="Arial"/>
                <w:b/>
                <w:i w:val="0"/>
                <w:color w:val="5E6670"/>
                <w:sz w:val="14"/>
              </w:rPr>
              <w:t>Source</w:t>
              <w:br/>
            </w:r>
            <w:r>
              <w:rPr>
                <w:rFonts w:ascii="Arial" w:hAnsi="Arial"/>
                <w:b w:val="0"/>
                <w:i w:val="0"/>
                <w:color w:val="232830"/>
                <w:sz w:val="16"/>
              </w:rPr>
              <w:t>Bedside nursing team</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Bedside nursing observation notes / flowsheet summary</w:t>
            </w:r>
          </w:p>
        </w:tc>
      </w:tr>
    </w:tbl>
    <w:p>
      <w:pPr>
        <w:spacing w:after="0"/>
      </w:pPr>
    </w:p>
    <w:p>
      <w:pPr>
        <w:spacing w:after="20"/>
      </w:pPr>
      <w:r>
        <w:rPr>
          <w:rFonts w:ascii="Arial" w:hAnsi="Arial"/>
          <w:b/>
          <w:i w:val="0"/>
          <w:color w:val="1F3864"/>
          <w:sz w:val="28"/>
        </w:rPr>
        <w:t>BEDSIDE NURSING OBSERVATION NOTES / FLOWSHEET SUMMARY</w:t>
      </w:r>
    </w:p>
    <w:p>
      <w:pPr>
        <w:spacing w:after="120"/>
      </w:pPr>
      <w:r>
        <w:rPr>
          <w:rFonts w:ascii="Arial" w:hAnsi="Arial"/>
          <w:b w:val="0"/>
          <w:i w:val="0"/>
          <w:color w:val="5E6670"/>
          <w:sz w:val="16"/>
        </w:rPr>
        <w:t>Author: Bedside nursing team  |  Department: Nursing  |  HD1-HD6 through 05/23/2026 18:00  |  Status: Signed</w:t>
      </w:r>
    </w:p>
    <w:p>
      <w:pPr>
        <w:spacing w:before="180" w:after="60"/>
        <w:pBdr>
          <w:bottom w:val="single" w:sz="6" w:color="C9D4EA" w:space="2"/>
        </w:pBdr>
      </w:pPr>
      <w:r>
        <w:rPr>
          <w:rFonts w:ascii="Arial" w:hAnsi="Arial"/>
          <w:b/>
          <w:i w:val="0"/>
          <w:color w:val="4472C4"/>
          <w:sz w:val="20"/>
        </w:rPr>
        <w:t>BEDSIDE NURSING SUMMARY</w:t>
      </w:r>
    </w:p>
    <w:p>
      <w:r>
        <w:rPr>
          <w:rFonts w:ascii="Arial" w:hAnsi="Arial"/>
          <w:b w:val="0"/>
          <w:i w:val="0"/>
          <w:color w:val="232830"/>
          <w:sz w:val="19"/>
        </w:rPr>
        <w:t>Patient: Korvin Merrow</w:t>
      </w:r>
    </w:p>
    <w:p>
      <w:r>
        <w:rPr>
          <w:rFonts w:ascii="Arial" w:hAnsi="Arial"/>
          <w:b w:val="0"/>
          <w:i w:val="0"/>
          <w:color w:val="232830"/>
          <w:sz w:val="19"/>
        </w:rPr>
        <w:t>Source type: compiled bedside nursing notes and selected flowsheet-style observations from HD1 through HD6 before world close.</w:t>
      </w:r>
    </w:p>
    <w:p>
      <w:r>
        <w:rPr>
          <w:rFonts w:ascii="Arial" w:hAnsi="Arial"/>
          <w:b w:val="0"/>
          <w:i w:val="0"/>
          <w:color w:val="232830"/>
          <w:sz w:val="19"/>
        </w:rPr>
        <w:t>This source summarizes nursing observations. It does not determine final disposition, final medication plan, final steroid plan, or discharge readiness by itself.</w:t>
      </w:r>
    </w:p>
    <w:p>
      <w:pPr>
        <w:spacing w:before="180" w:after="60"/>
        <w:pBdr>
          <w:bottom w:val="single" w:sz="6" w:color="C9D4EA" w:space="2"/>
        </w:pBdr>
      </w:pPr>
      <w:r>
        <w:rPr>
          <w:rFonts w:ascii="Arial" w:hAnsi="Arial"/>
          <w:b/>
          <w:i w:val="0"/>
          <w:color w:val="4472C4"/>
          <w:sz w:val="20"/>
        </w:rPr>
        <w:t>NURSING OBSERVATION PATTERN</w:t>
      </w:r>
    </w:p>
    <w:p>
      <w:r>
        <w:rPr>
          <w:rFonts w:ascii="Arial" w:hAnsi="Arial"/>
          <w:b w:val="0"/>
          <w:i w:val="0"/>
          <w:color w:val="232830"/>
          <w:sz w:val="19"/>
        </w:rPr>
        <w:t>### HD1-HD2</w:t>
      </w:r>
    </w:p>
    <w:p>
      <w:r>
        <w:rPr>
          <w:rFonts w:ascii="Arial" w:hAnsi="Arial"/>
          <w:b w:val="0"/>
          <w:i w:val="0"/>
          <w:color w:val="232830"/>
          <w:sz w:val="19"/>
        </w:rPr>
        <w:t>Korvin arrived fatigued and slower to respond than family described as baseline. He was cooperative but needed repeated orientation to the plan of care and reminders about call-light use.</w:t>
      </w:r>
    </w:p>
    <w:p>
      <w:r>
        <w:rPr>
          <w:rFonts w:ascii="Arial" w:hAnsi="Arial"/>
          <w:b w:val="0"/>
          <w:i w:val="0"/>
          <w:color w:val="232830"/>
          <w:sz w:val="19"/>
        </w:rPr>
        <w:t>Bed mobility and transfers required more cueing than expected for a patient described as usually independent with basic activities. Nursing documented assistance for transfers because of weakness, lightheadedness history, and unsteadiness.</w:t>
      </w:r>
    </w:p>
    <w:p>
      <w:r>
        <w:rPr>
          <w:rFonts w:ascii="Arial" w:hAnsi="Arial"/>
          <w:b w:val="0"/>
          <w:i w:val="0"/>
          <w:color w:val="232830"/>
          <w:sz w:val="19"/>
        </w:rPr>
        <w:t>Oral intake was poor early. Nursing encouraged fluids and meal intake, with variable completion.</w:t>
      </w:r>
    </w:p>
    <w:p>
      <w:r>
        <w:rPr>
          <w:rFonts w:ascii="Arial" w:hAnsi="Arial"/>
          <w:b w:val="0"/>
          <w:i w:val="0"/>
          <w:color w:val="232830"/>
          <w:sz w:val="19"/>
        </w:rPr>
        <w:t>Mara Merrow provided collateral that Korvin had been mixing up medication timing at home during the decline. Nursing documented this as family collateral, not verified medication history.</w:t>
      </w:r>
    </w:p>
    <w:p>
      <w:r>
        <w:rPr>
          <w:rFonts w:ascii="Arial" w:hAnsi="Arial"/>
          <w:b w:val="0"/>
          <w:i w:val="0"/>
          <w:color w:val="232830"/>
          <w:sz w:val="19"/>
        </w:rPr>
        <w:t>### HD3</w:t>
      </w:r>
    </w:p>
    <w:p>
      <w:r>
        <w:rPr>
          <w:rFonts w:ascii="Arial" w:hAnsi="Arial"/>
          <w:b w:val="0"/>
          <w:i w:val="0"/>
          <w:color w:val="232830"/>
          <w:sz w:val="19"/>
        </w:rPr>
        <w:t>Korvin appeared more awake than on admission and was easier to redirect. He still tired with routine bedside activity.</w:t>
      </w:r>
    </w:p>
    <w:p>
      <w:r>
        <w:rPr>
          <w:rFonts w:ascii="Arial" w:hAnsi="Arial"/>
          <w:b w:val="0"/>
          <w:i w:val="0"/>
          <w:color w:val="232830"/>
          <w:sz w:val="19"/>
        </w:rPr>
        <w:t>Nursing notes describe:</w:t>
      </w:r>
    </w:p>
    <w:p>
      <w:pPr>
        <w:pStyle w:val="ListBullet"/>
        <w:spacing w:after="30"/>
      </w:pPr>
      <w:r>
        <w:rPr>
          <w:rFonts w:ascii="Arial" w:hAnsi="Arial"/>
          <w:b w:val="0"/>
          <w:i w:val="0"/>
          <w:color w:val="232830"/>
          <w:sz w:val="19"/>
        </w:rPr>
        <w:t>improved orientation compared with admission;</w:t>
      </w:r>
    </w:p>
    <w:p>
      <w:pPr>
        <w:pStyle w:val="ListBullet"/>
        <w:spacing w:after="30"/>
      </w:pPr>
      <w:r>
        <w:rPr>
          <w:rFonts w:ascii="Arial" w:hAnsi="Arial"/>
          <w:b w:val="0"/>
          <w:i w:val="0"/>
          <w:color w:val="232830"/>
          <w:sz w:val="19"/>
        </w:rPr>
        <w:t>occasional delayed responses when asked multi-step questions;</w:t>
      </w:r>
    </w:p>
    <w:p>
      <w:pPr>
        <w:pStyle w:val="ListBullet"/>
        <w:spacing w:after="30"/>
      </w:pPr>
      <w:r>
        <w:rPr>
          <w:rFonts w:ascii="Arial" w:hAnsi="Arial"/>
          <w:b w:val="0"/>
          <w:i w:val="0"/>
          <w:color w:val="232830"/>
          <w:sz w:val="19"/>
        </w:rPr>
        <w:t>intermittent need for prompting to use the call light before getting up;</w:t>
      </w:r>
    </w:p>
    <w:p>
      <w:pPr>
        <w:pStyle w:val="ListBullet"/>
        <w:spacing w:after="30"/>
      </w:pPr>
      <w:r>
        <w:rPr>
          <w:rFonts w:ascii="Arial" w:hAnsi="Arial"/>
          <w:b w:val="0"/>
          <w:i w:val="0"/>
          <w:color w:val="232830"/>
          <w:sz w:val="19"/>
        </w:rPr>
        <w:t>short-distance ambulation with staff supervision;</w:t>
      </w:r>
    </w:p>
    <w:p>
      <w:pPr>
        <w:pStyle w:val="ListBullet"/>
        <w:spacing w:after="30"/>
      </w:pPr>
      <w:r>
        <w:rPr>
          <w:rFonts w:ascii="Arial" w:hAnsi="Arial"/>
          <w:b w:val="0"/>
          <w:i w:val="0"/>
          <w:color w:val="232830"/>
          <w:sz w:val="19"/>
        </w:rPr>
        <w:t>fatigue after bathroom trips or chair transfers.</w:t>
      </w:r>
    </w:p>
    <w:p>
      <w:r>
        <w:rPr>
          <w:rFonts w:ascii="Arial" w:hAnsi="Arial"/>
          <w:b w:val="0"/>
          <w:i w:val="0"/>
          <w:color w:val="232830"/>
          <w:sz w:val="19"/>
        </w:rPr>
        <w:t>No acute nursing event established that discharge was unsafe. The concern was cumulative: Korvin looked better medically but still needed more practical support than his baseline description suggested.</w:t>
      </w:r>
    </w:p>
    <w:p>
      <w:r>
        <w:rPr>
          <w:rFonts w:ascii="Arial" w:hAnsi="Arial"/>
          <w:b w:val="0"/>
          <w:i w:val="0"/>
          <w:color w:val="232830"/>
          <w:sz w:val="19"/>
        </w:rPr>
        <w:t>### HD4</w:t>
      </w:r>
    </w:p>
    <w:p>
      <w:r>
        <w:rPr>
          <w:rFonts w:ascii="Arial" w:hAnsi="Arial"/>
          <w:b w:val="0"/>
          <w:i w:val="0"/>
          <w:color w:val="232830"/>
          <w:sz w:val="19"/>
        </w:rPr>
        <w:t>Korvin was generally alert and pleasant. He participated in care but continued to need reminders about the sequence of medications, meals, glucose checks, and mobility restrictions.</w:t>
      </w:r>
    </w:p>
    <w:p>
      <w:r>
        <w:rPr>
          <w:rFonts w:ascii="Arial" w:hAnsi="Arial"/>
          <w:b w:val="0"/>
          <w:i w:val="0"/>
          <w:color w:val="232830"/>
          <w:sz w:val="19"/>
        </w:rPr>
        <w:t>Nursing documented that he could recount some home medications but became less reliable when asked about recent dose changes or the prednisone taper. This is consistent with other medication-source uncertainty and does not override medication reconciliation, pharmacy history, or rheumatology provenance.</w:t>
      </w:r>
    </w:p>
    <w:p>
      <w:r>
        <w:rPr>
          <w:rFonts w:ascii="Arial" w:hAnsi="Arial"/>
          <w:b w:val="0"/>
          <w:i w:val="0"/>
          <w:color w:val="232830"/>
          <w:sz w:val="19"/>
        </w:rPr>
        <w:t>Mobility observations:</w:t>
      </w:r>
    </w:p>
    <w:p>
      <w:pPr>
        <w:pStyle w:val="ListBullet"/>
        <w:spacing w:after="30"/>
      </w:pPr>
      <w:r>
        <w:rPr>
          <w:rFonts w:ascii="Arial" w:hAnsi="Arial"/>
          <w:b w:val="0"/>
          <w:i w:val="0"/>
          <w:color w:val="232830"/>
          <w:sz w:val="19"/>
        </w:rPr>
        <w:t>able to sit in chair for parts of the day;</w:t>
      </w:r>
    </w:p>
    <w:p>
      <w:pPr>
        <w:pStyle w:val="ListBullet"/>
        <w:spacing w:after="30"/>
      </w:pPr>
      <w:r>
        <w:rPr>
          <w:rFonts w:ascii="Arial" w:hAnsi="Arial"/>
          <w:b w:val="0"/>
          <w:i w:val="0"/>
          <w:color w:val="232830"/>
          <w:sz w:val="19"/>
        </w:rPr>
        <w:t>required supervision for bathroom transfer;</w:t>
      </w:r>
    </w:p>
    <w:p>
      <w:pPr>
        <w:pStyle w:val="ListBullet"/>
        <w:spacing w:after="30"/>
      </w:pPr>
      <w:r>
        <w:rPr>
          <w:rFonts w:ascii="Arial" w:hAnsi="Arial"/>
          <w:b w:val="0"/>
          <w:i w:val="0"/>
          <w:color w:val="232830"/>
          <w:sz w:val="19"/>
        </w:rPr>
        <w:t>gait appeared slow and cautious with staff present;</w:t>
      </w:r>
    </w:p>
    <w:p>
      <w:pPr>
        <w:pStyle w:val="ListBullet"/>
        <w:spacing w:after="30"/>
      </w:pPr>
      <w:r>
        <w:rPr>
          <w:rFonts w:ascii="Arial" w:hAnsi="Arial"/>
          <w:b w:val="0"/>
          <w:i w:val="0"/>
          <w:color w:val="232830"/>
          <w:sz w:val="19"/>
        </w:rPr>
        <w:t>endurance varied by time of day and meal intake.</w:t>
      </w:r>
    </w:p>
    <w:p>
      <w:r>
        <w:rPr>
          <w:rFonts w:ascii="Arial" w:hAnsi="Arial"/>
          <w:b w:val="0"/>
          <w:i w:val="0"/>
          <w:color w:val="232830"/>
          <w:sz w:val="19"/>
        </w:rPr>
        <w:t>### HD5</w:t>
      </w:r>
    </w:p>
    <w:p>
      <w:r>
        <w:rPr>
          <w:rFonts w:ascii="Arial" w:hAnsi="Arial"/>
          <w:b w:val="0"/>
          <w:i w:val="0"/>
          <w:color w:val="232830"/>
          <w:sz w:val="19"/>
        </w:rPr>
        <w:t>Nursing documented improved oral intake and less acute-illness appearance. Korvin remained afebrile and more interactive during routine care.</w:t>
      </w:r>
    </w:p>
    <w:p>
      <w:r>
        <w:rPr>
          <w:rFonts w:ascii="Arial" w:hAnsi="Arial"/>
          <w:b w:val="0"/>
          <w:i w:val="0"/>
          <w:color w:val="232830"/>
          <w:sz w:val="19"/>
        </w:rPr>
        <w:t>Practical concerns persisted:</w:t>
      </w:r>
    </w:p>
    <w:p>
      <w:pPr>
        <w:pStyle w:val="ListBullet"/>
        <w:spacing w:after="30"/>
      </w:pPr>
      <w:r>
        <w:rPr>
          <w:rFonts w:ascii="Arial" w:hAnsi="Arial"/>
          <w:b w:val="0"/>
          <w:i w:val="0"/>
          <w:color w:val="232830"/>
          <w:sz w:val="19"/>
        </w:rPr>
        <w:t>he was sometimes unsure whether he had already taken a medication when asked conversationally;</w:t>
      </w:r>
    </w:p>
    <w:p>
      <w:pPr>
        <w:pStyle w:val="ListBullet"/>
        <w:spacing w:after="30"/>
      </w:pPr>
      <w:r>
        <w:rPr>
          <w:rFonts w:ascii="Arial" w:hAnsi="Arial"/>
          <w:b w:val="0"/>
          <w:i w:val="0"/>
          <w:color w:val="232830"/>
          <w:sz w:val="19"/>
        </w:rPr>
        <w:t>he needed reminders about using assistance before ambulating;</w:t>
      </w:r>
    </w:p>
    <w:p>
      <w:pPr>
        <w:pStyle w:val="ListBullet"/>
        <w:spacing w:after="30"/>
      </w:pPr>
      <w:r>
        <w:rPr>
          <w:rFonts w:ascii="Arial" w:hAnsi="Arial"/>
          <w:b w:val="0"/>
          <w:i w:val="0"/>
          <w:color w:val="232830"/>
          <w:sz w:val="19"/>
        </w:rPr>
        <w:t>fatigue increased after clustered care or therapy activity;</w:t>
      </w:r>
    </w:p>
    <w:p>
      <w:pPr>
        <w:pStyle w:val="ListBullet"/>
        <w:spacing w:after="30"/>
      </w:pPr>
      <w:r>
        <w:rPr>
          <w:rFonts w:ascii="Arial" w:hAnsi="Arial"/>
          <w:b w:val="0"/>
          <w:i w:val="0"/>
          <w:color w:val="232830"/>
          <w:sz w:val="19"/>
        </w:rPr>
        <w:t>family asked whether he would be able to manage safely at home if the medication plan changed.</w:t>
      </w:r>
    </w:p>
    <w:p>
      <w:r>
        <w:rPr>
          <w:rFonts w:ascii="Arial" w:hAnsi="Arial"/>
          <w:b w:val="0"/>
          <w:i w:val="0"/>
          <w:color w:val="232830"/>
          <w:sz w:val="19"/>
        </w:rPr>
        <w:t>Mara Merrow's concern was noted as meaningful baseline collateral. Nursing did not document that family refused discharge or that discharge was definitively unsafe.</w:t>
      </w:r>
    </w:p>
    <w:p>
      <w:r>
        <w:rPr>
          <w:rFonts w:ascii="Arial" w:hAnsi="Arial"/>
          <w:b w:val="0"/>
          <w:i w:val="0"/>
          <w:color w:val="232830"/>
          <w:sz w:val="19"/>
        </w:rPr>
        <w:t>### HD6 Before 18:00</w:t>
      </w:r>
    </w:p>
    <w:p>
      <w:r>
        <w:rPr>
          <w:rFonts w:ascii="Arial" w:hAnsi="Arial"/>
          <w:b w:val="0"/>
          <w:i w:val="0"/>
          <w:color w:val="232830"/>
          <w:sz w:val="19"/>
        </w:rPr>
        <w:t>Korvin was medically improved compared with admission. He was awake, conversant, taking more by mouth, and able to participate in care discussion.</w:t>
      </w:r>
    </w:p>
    <w:p>
      <w:r>
        <w:rPr>
          <w:rFonts w:ascii="Arial" w:hAnsi="Arial"/>
          <w:b w:val="0"/>
          <w:i w:val="0"/>
          <w:color w:val="232830"/>
          <w:sz w:val="19"/>
        </w:rPr>
        <w:t>Nursing observations before world close:</w:t>
      </w:r>
    </w:p>
    <w:p>
      <w:pPr>
        <w:pStyle w:val="ListBullet"/>
        <w:spacing w:after="30"/>
      </w:pPr>
      <w:r>
        <w:rPr>
          <w:rFonts w:ascii="Arial" w:hAnsi="Arial"/>
          <w:b w:val="0"/>
          <w:i w:val="0"/>
          <w:color w:val="232830"/>
          <w:sz w:val="19"/>
        </w:rPr>
        <w:t>oriented during routine checks but slower with complex medication or timeline questions;</w:t>
      </w:r>
    </w:p>
    <w:p>
      <w:pPr>
        <w:pStyle w:val="ListBullet"/>
        <w:spacing w:after="30"/>
      </w:pPr>
      <w:r>
        <w:rPr>
          <w:rFonts w:ascii="Arial" w:hAnsi="Arial"/>
          <w:b w:val="0"/>
          <w:i w:val="0"/>
          <w:color w:val="232830"/>
          <w:sz w:val="19"/>
        </w:rPr>
        <w:t>able to transfer with supervision and cues;</w:t>
      </w:r>
    </w:p>
    <w:p>
      <w:pPr>
        <w:pStyle w:val="ListBullet"/>
        <w:spacing w:after="30"/>
      </w:pPr>
      <w:r>
        <w:rPr>
          <w:rFonts w:ascii="Arial" w:hAnsi="Arial"/>
          <w:b w:val="0"/>
          <w:i w:val="0"/>
          <w:color w:val="232830"/>
          <w:sz w:val="19"/>
        </w:rPr>
        <w:t>ambulated short distances with staff nearby;</w:t>
      </w:r>
    </w:p>
    <w:p>
      <w:pPr>
        <w:pStyle w:val="ListBullet"/>
        <w:spacing w:after="30"/>
      </w:pPr>
      <w:r>
        <w:rPr>
          <w:rFonts w:ascii="Arial" w:hAnsi="Arial"/>
          <w:b w:val="0"/>
          <w:i w:val="0"/>
          <w:color w:val="232830"/>
          <w:sz w:val="19"/>
        </w:rPr>
        <w:t>fatigued after longer periods out of bed;</w:t>
      </w:r>
    </w:p>
    <w:p>
      <w:pPr>
        <w:pStyle w:val="ListBullet"/>
        <w:spacing w:after="30"/>
      </w:pPr>
      <w:r>
        <w:rPr>
          <w:rFonts w:ascii="Arial" w:hAnsi="Arial"/>
          <w:b w:val="0"/>
          <w:i w:val="0"/>
          <w:color w:val="232830"/>
          <w:sz w:val="19"/>
        </w:rPr>
        <w:t>continued to benefit from family presence for clarification and reassurance.</w:t>
      </w:r>
    </w:p>
    <w:p>
      <w:r>
        <w:rPr>
          <w:rFonts w:ascii="Arial" w:hAnsi="Arial"/>
          <w:b w:val="0"/>
          <w:i w:val="0"/>
          <w:color w:val="232830"/>
          <w:sz w:val="19"/>
        </w:rPr>
        <w:t>The bedside picture is not dramatic disability. It is also not a clean return to baseline.</w:t>
      </w:r>
    </w:p>
    <w:p>
      <w:pPr>
        <w:spacing w:before="180" w:after="60"/>
        <w:pBdr>
          <w:bottom w:val="single" w:sz="6" w:color="C9D4EA" w:space="2"/>
        </w:pBdr>
      </w:pPr>
      <w:r>
        <w:rPr>
          <w:rFonts w:ascii="Arial" w:hAnsi="Arial"/>
          <w:b/>
          <w:i w:val="0"/>
          <w:color w:val="4472C4"/>
          <w:sz w:val="20"/>
        </w:rPr>
        <w:t>FAMILY / BASELINE CONTEXT</w:t>
      </w:r>
    </w:p>
    <w:p>
      <w:r>
        <w:rPr>
          <w:rFonts w:ascii="Arial" w:hAnsi="Arial"/>
          <w:b w:val="0"/>
          <w:i w:val="0"/>
          <w:color w:val="232830"/>
          <w:sz w:val="19"/>
        </w:rPr>
        <w:t>Family repeatedly described baseline as independent basic activities with slower pacing and intermittent cane use for longer distances. Nursing notes did not independently verify baseline function, but this collateral aligns with primary care baseline context.</w:t>
      </w:r>
    </w:p>
    <w:p>
      <w:r>
        <w:rPr>
          <w:rFonts w:ascii="Arial" w:hAnsi="Arial"/>
          <w:b w:val="0"/>
          <w:i w:val="0"/>
          <w:color w:val="232830"/>
          <w:sz w:val="19"/>
        </w:rPr>
        <w:t>Family concerns most often involved:</w:t>
      </w:r>
    </w:p>
    <w:p>
      <w:pPr>
        <w:pStyle w:val="ListBullet"/>
        <w:spacing w:after="30"/>
      </w:pPr>
      <w:r>
        <w:rPr>
          <w:rFonts w:ascii="Arial" w:hAnsi="Arial"/>
          <w:b w:val="0"/>
          <w:i w:val="0"/>
          <w:color w:val="232830"/>
          <w:sz w:val="19"/>
        </w:rPr>
        <w:t>weakness compared with baseline;</w:t>
      </w:r>
    </w:p>
    <w:p>
      <w:pPr>
        <w:pStyle w:val="ListBullet"/>
        <w:spacing w:after="30"/>
      </w:pPr>
      <w:r>
        <w:rPr>
          <w:rFonts w:ascii="Arial" w:hAnsi="Arial"/>
          <w:b w:val="0"/>
          <w:i w:val="0"/>
          <w:color w:val="232830"/>
          <w:sz w:val="19"/>
        </w:rPr>
        <w:t>medication-management reliability;</w:t>
      </w:r>
    </w:p>
    <w:p>
      <w:pPr>
        <w:pStyle w:val="ListBullet"/>
        <w:spacing w:after="30"/>
      </w:pPr>
      <w:r>
        <w:rPr>
          <w:rFonts w:ascii="Arial" w:hAnsi="Arial"/>
          <w:b w:val="0"/>
          <w:i w:val="0"/>
          <w:color w:val="232830"/>
          <w:sz w:val="19"/>
        </w:rPr>
        <w:t>whether Korvin would remember new instructions;</w:t>
      </w:r>
    </w:p>
    <w:p>
      <w:pPr>
        <w:pStyle w:val="ListBullet"/>
        <w:spacing w:after="30"/>
      </w:pPr>
      <w:r>
        <w:rPr>
          <w:rFonts w:ascii="Arial" w:hAnsi="Arial"/>
          <w:b w:val="0"/>
          <w:i w:val="0"/>
          <w:color w:val="232830"/>
          <w:sz w:val="19"/>
        </w:rPr>
        <w:t>whether someone would need to supervise the first days after discharge.</w:t>
      </w:r>
    </w:p>
    <w:p>
      <w:pPr>
        <w:spacing w:before="180" w:after="60"/>
        <w:pBdr>
          <w:bottom w:val="single" w:sz="6" w:color="C9D4EA" w:space="2"/>
        </w:pBdr>
      </w:pPr>
      <w:r>
        <w:rPr>
          <w:rFonts w:ascii="Arial" w:hAnsi="Arial"/>
          <w:b/>
          <w:i w:val="0"/>
          <w:color w:val="4472C4"/>
          <w:sz w:val="20"/>
        </w:rPr>
        <w:t>NURSING INTERPRETATION LIMITS</w:t>
      </w:r>
    </w:p>
    <w:p>
      <w:r>
        <w:rPr>
          <w:rFonts w:ascii="Arial" w:hAnsi="Arial"/>
          <w:b w:val="0"/>
          <w:i w:val="0"/>
          <w:color w:val="232830"/>
          <w:sz w:val="19"/>
        </w:rPr>
        <w:t>This nursing source is lower-authority than attending synthesis for final disposition decisions. It is also not a medication-source override.</w:t>
      </w:r>
    </w:p>
    <w:p>
      <w:r>
        <w:rPr>
          <w:rFonts w:ascii="Arial" w:hAnsi="Arial"/>
          <w:b w:val="0"/>
          <w:i w:val="0"/>
          <w:color w:val="232830"/>
          <w:sz w:val="19"/>
        </w:rPr>
        <w:t>However, it is clinically relevant because physician summaries may underrepresent:</w:t>
      </w:r>
    </w:p>
    <w:p>
      <w:pPr>
        <w:pStyle w:val="ListBullet"/>
        <w:spacing w:after="30"/>
      </w:pPr>
      <w:r>
        <w:rPr>
          <w:rFonts w:ascii="Arial" w:hAnsi="Arial"/>
          <w:b w:val="0"/>
          <w:i w:val="0"/>
          <w:color w:val="232830"/>
          <w:sz w:val="19"/>
        </w:rPr>
        <w:t>cueing needs;</w:t>
      </w:r>
    </w:p>
    <w:p>
      <w:pPr>
        <w:pStyle w:val="ListBullet"/>
        <w:spacing w:after="30"/>
      </w:pPr>
      <w:r>
        <w:rPr>
          <w:rFonts w:ascii="Arial" w:hAnsi="Arial"/>
          <w:b w:val="0"/>
          <w:i w:val="0"/>
          <w:color w:val="232830"/>
          <w:sz w:val="19"/>
        </w:rPr>
        <w:t>endurance limitations;</w:t>
      </w:r>
    </w:p>
    <w:p>
      <w:pPr>
        <w:pStyle w:val="ListBullet"/>
        <w:spacing w:after="30"/>
      </w:pPr>
      <w:r>
        <w:rPr>
          <w:rFonts w:ascii="Arial" w:hAnsi="Arial"/>
          <w:b w:val="0"/>
          <w:i w:val="0"/>
          <w:color w:val="232830"/>
          <w:sz w:val="19"/>
        </w:rPr>
        <w:t>practical transfer safety;</w:t>
      </w:r>
    </w:p>
    <w:p>
      <w:pPr>
        <w:pStyle w:val="ListBullet"/>
        <w:spacing w:after="30"/>
      </w:pPr>
      <w:r>
        <w:rPr>
          <w:rFonts w:ascii="Arial" w:hAnsi="Arial"/>
          <w:b w:val="0"/>
          <w:i w:val="0"/>
          <w:color w:val="232830"/>
          <w:sz w:val="19"/>
        </w:rPr>
        <w:t>real-world medication-management concerns;</w:t>
      </w:r>
    </w:p>
    <w:p>
      <w:pPr>
        <w:pStyle w:val="ListBullet"/>
        <w:spacing w:after="30"/>
      </w:pPr>
      <w:r>
        <w:rPr>
          <w:rFonts w:ascii="Arial" w:hAnsi="Arial"/>
          <w:b w:val="0"/>
          <w:i w:val="0"/>
          <w:color w:val="232830"/>
          <w:sz w:val="19"/>
        </w:rPr>
        <w:t>family-observed baseline deviation.</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EW17 supports buried functional and cognitive evidence. It does not prove discharge is unsafe, create a final discharge decision, replace PT/OT assessment, resolve medication restart timing, prove adrenal insufficiency, or create a visible discharge-facing artifact.</w:t>
      </w:r>
    </w:p>
    <w:p>
      <w:pPr>
        <w:spacing w:before="200"/>
        <w:pBdr>
          <w:top w:val="single" w:sz="4" w:color="C9D4EA" w:space="4"/>
        </w:pBdr>
      </w:pPr>
      <w:r>
        <w:rPr>
          <w:rFonts w:ascii="Arial" w:hAnsi="Arial"/>
          <w:b w:val="0"/>
          <w:i/>
          <w:color w:val="5E6670"/>
          <w:sz w:val="18"/>
        </w:rPr>
        <w:t>Electronically signed by Bedside nursing team  |  Nursing</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Bedside nursing observation notes / flowsheet summary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