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Pharmacy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/ Anchor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Pre-admission provenance reviewed by 05/18/2026 / HD1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Source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Pharmacy history source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Pharmacy / refill-history report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rFonts w:ascii="Arial" w:hAnsi="Arial"/>
          <w:b/>
          <w:i w:val="0"/>
          <w:color w:val="1F3864"/>
          <w:sz w:val="28"/>
        </w:rPr>
        <w:t>PHARMACY / REFILL-HISTORY REPORT</w:t>
      </w:r>
    </w:p>
    <w:p>
      <w:pPr>
        <w:spacing w:after="120"/>
      </w:pPr>
      <w:r>
        <w:rPr>
          <w:rFonts w:ascii="Arial" w:hAnsi="Arial"/>
          <w:b w:val="0"/>
          <w:i w:val="0"/>
          <w:color w:val="5E6670"/>
          <w:sz w:val="16"/>
        </w:rPr>
        <w:t>Author: Pharmacy history source  |  Department: Pharmacy  |  Pre-admission provenance reviewed by 05/18/2026 / HD1  | 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PHARMACY FILL HISTORY REVIEW</w:t>
      </w:r>
    </w:p>
    <w:p>
      <w:r>
        <w:rPr>
          <w:rFonts w:ascii="Arial" w:hAnsi="Arial"/>
          <w:b w:val="0"/>
          <w:i w:val="0"/>
          <w:color w:val="232830"/>
          <w:sz w:val="19"/>
        </w:rPr>
        <w:t>Review date: 05/18/2026</w:t>
      </w:r>
    </w:p>
    <w:p>
      <w:r>
        <w:rPr>
          <w:rFonts w:ascii="Arial" w:hAnsi="Arial"/>
          <w:b w:val="0"/>
          <w:i w:val="0"/>
          <w:color w:val="232830"/>
          <w:sz w:val="19"/>
        </w:rPr>
        <w:t>Patient: Korvin Merrow</w:t>
      </w:r>
    </w:p>
    <w:p>
      <w:r>
        <w:rPr>
          <w:rFonts w:ascii="Arial" w:hAnsi="Arial"/>
          <w:b w:val="0"/>
          <w:i w:val="0"/>
          <w:color w:val="232830"/>
          <w:sz w:val="19"/>
        </w:rPr>
        <w:t>Source: external pharmacy fill-history query and available outpatient pharmacy records.</w:t>
      </w:r>
    </w:p>
    <w:p>
      <w:r>
        <w:rPr>
          <w:rFonts w:ascii="Arial" w:hAnsi="Arial"/>
          <w:b w:val="0"/>
          <w:i w:val="0"/>
          <w:color w:val="232830"/>
          <w:sz w:val="19"/>
        </w:rPr>
        <w:t>Limitations: fill history confirms dispensing patterns but does not prove actual medication ingestion, correct timing, inpatient continuation, or discharge appropriateness.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CHRONIC MEDICATION FILL PATTERN</w:t>
      </w:r>
    </w:p>
    <w:p>
      <w:r>
        <w:rPr>
          <w:rFonts w:ascii="Arial" w:hAnsi="Arial"/>
          <w:b w:val="0"/>
          <w:i w:val="0"/>
          <w:color w:val="232830"/>
          <w:sz w:val="19"/>
        </w:rPr>
        <w:t>The following medication classes appear active or recently active in pharmacy history:</w:t>
      </w:r>
    </w:p>
    <w:p>
      <w:r>
        <w:rPr>
          <w:rFonts w:ascii="Arial" w:hAnsi="Arial"/>
          <w:b w:val="0"/>
          <w:i w:val="0"/>
          <w:color w:val="232830"/>
          <w:sz w:val="19"/>
        </w:rPr>
        <w:t>Cardiovascular / HFrEF / CAD: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Sacubitril/valsartan: recurring fills consistent with chronic HFrEF therapy.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Carvedilol: recurring fills consistent with chronic HFrEF/CAD therapy.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Furosemide: recurring fills consistent with chronic volume-management therapy.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Spironolactone: recurring fills consistent with chronic HFrEF therapy.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Empagliflozin: recurring fills consistent with diabetes/HFrEF/CKD-related therapy.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Aspirin: may be purchased over the counter or included in medication list; pharmacy fill history may not fully capture use.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Atorvastatin: recurring fills consistent with chronic CAD/hyperlipidemia therapy.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Nitroglycerin rescue medication: intermittent fill history consistent with rescue use rather than daily dosing.</w:t>
      </w:r>
    </w:p>
    <w:p>
      <w:r>
        <w:rPr>
          <w:rFonts w:ascii="Arial" w:hAnsi="Arial"/>
          <w:b w:val="0"/>
          <w:i w:val="0"/>
          <w:color w:val="232830"/>
          <w:sz w:val="19"/>
        </w:rPr>
        <w:t>Diabetes: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Metformin ER: recurring fills, with renal/acute illness relevance.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Insulin glargine: recurring fills consistent with basal insulin use.</w:t>
      </w:r>
    </w:p>
    <w:p>
      <w:r>
        <w:rPr>
          <w:rFonts w:ascii="Arial" w:hAnsi="Arial"/>
          <w:b w:val="0"/>
          <w:i w:val="0"/>
          <w:color w:val="232830"/>
          <w:sz w:val="19"/>
        </w:rPr>
        <w:t>Steroid / PMR: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Prednisone: refill history shows multiple fills over time, with directions that changed across fills.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Refill history supports chronic exposure and recent taper activity but does not prove what Korvin actually took in the days before admission.</w:t>
      </w:r>
    </w:p>
    <w:p>
      <w:r>
        <w:rPr>
          <w:rFonts w:ascii="Arial" w:hAnsi="Arial"/>
          <w:b w:val="0"/>
          <w:i w:val="0"/>
          <w:color w:val="232830"/>
          <w:sz w:val="19"/>
        </w:rPr>
        <w:t>Neuropathy / pain: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Gabapentin: recurring fills.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Acetaminophen: may be over the counter; fill history may not capture all use.</w:t>
      </w:r>
    </w:p>
    <w:p>
      <w:r>
        <w:rPr>
          <w:rFonts w:ascii="Arial" w:hAnsi="Arial"/>
          <w:b w:val="0"/>
          <w:i w:val="0"/>
          <w:color w:val="232830"/>
          <w:sz w:val="19"/>
        </w:rPr>
        <w:t>GI / bowel / anemia / bone health: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Pantoprazole: recurring or recently active fills.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Ferrous sulfate: recurring or recently active fills.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Alendronate: recurring fills consistent with bone-health therapy.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Calcium/vitamin D products and cholecalciferol: may be over the counter or variably captured.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Polyethylene glycol and senna: may be intermittent, over the counter, or variably captured.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PREDNISONE FILL-HISTORY DETAILS</w:t>
      </w:r>
    </w:p>
    <w:p>
      <w:r>
        <w:rPr>
          <w:rFonts w:ascii="Arial" w:hAnsi="Arial"/>
          <w:b w:val="0"/>
          <w:i w:val="0"/>
          <w:color w:val="232830"/>
          <w:sz w:val="19"/>
        </w:rPr>
        <w:t>Prednisone fill history supports that Korvin has had chronic and recent exposure, but it does not fully settle the intended taper or actual adherence.</w:t>
      </w:r>
    </w:p>
    <w:p>
      <w:r>
        <w:rPr>
          <w:rFonts w:ascii="Arial" w:hAnsi="Arial"/>
          <w:b w:val="0"/>
          <w:i w:val="0"/>
          <w:color w:val="232830"/>
          <w:sz w:val="19"/>
        </w:rPr>
        <w:t>Observed pattern: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Older fills support prolonged prednisone treatment for PMR.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More recent fills include lower-strength tablets and taper-style directions.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Fill timing suggests prednisone remained clinically relevant before admission.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The fill record alone cannot confirm whether Korvin followed the latest taper, continued an older dose, skipped doses, or misunderstood instructions during his recent decline.</w:t>
      </w:r>
    </w:p>
    <w:p>
      <w:r>
        <w:rPr>
          <w:rFonts w:ascii="Arial" w:hAnsi="Arial"/>
          <w:b w:val="0"/>
          <w:i w:val="0"/>
          <w:color w:val="232830"/>
          <w:sz w:val="19"/>
        </w:rPr>
        <w:t>Interpretation: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Pharmacy history is stronger than patient recollection for whether prednisone was recently available.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Pharmacy history is weaker than rheumatology documentation for intended taper plan.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Pharmacy history does not replace verified medication reconciliation or actual administration history.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MEDICATION SAFETY IMPLICATIONS FOR ADMISSION</w:t>
      </w:r>
    </w:p>
    <w:p>
      <w:r>
        <w:rPr>
          <w:rFonts w:ascii="Arial" w:hAnsi="Arial"/>
          <w:b w:val="0"/>
          <w:i w:val="0"/>
          <w:color w:val="232830"/>
          <w:sz w:val="19"/>
        </w:rPr>
        <w:t>The fill pattern confirms a high-burden baseline regimen with multiple medications that may be affected by acute illness, poor intake, renal function, and hemodynamic status.</w:t>
      </w:r>
    </w:p>
    <w:p>
      <w:r>
        <w:rPr>
          <w:rFonts w:ascii="Arial" w:hAnsi="Arial"/>
          <w:b w:val="0"/>
          <w:i w:val="0"/>
          <w:color w:val="232830"/>
          <w:sz w:val="19"/>
        </w:rPr>
        <w:t>Important acute medication-safety categories: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HFrEF/CAD protective therapy that should not be casually lost.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Renal/hemodynamic-sensitive medications that may be unsafe during acute illness.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Diabetes medications affected by poor intake and kidney function.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Prednisone with unclear taper/adherence.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Supportive medications that increase real-world regimen complexity.</w:t>
      </w:r>
    </w:p>
    <w:p>
      <w:r>
        <w:rPr>
          <w:rFonts w:ascii="Arial" w:hAnsi="Arial"/>
          <w:b w:val="0"/>
          <w:i w:val="0"/>
          <w:color w:val="232830"/>
          <w:sz w:val="19"/>
        </w:rPr>
        <w:t>This report does not determine inpatient holds, restarts, taper decisions, or final discharge medication reconciliation.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Pharmacy history source  |  Pharmacy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Pharmacy / refill-history report  |  Synthetic training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  |  DOB 02/18/1964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