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Cardiology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HD2-HD6, strongest HD4-HD6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Dr. Maris Caldrane / Cardiology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Cardiology consultation documentation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CARDIOLOGY CONSULTATION DOCUMENTATION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Dr. Maris Caldrane / Cardiology  |  Department: Cardiology  |  HD2-HD6, strongest HD4-HD6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CARDIOLOGY CONSULTATION DOCUMENTATION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Consultant: Dr. Maris Caldrane</w:t>
      </w:r>
    </w:p>
    <w:p>
      <w:r>
        <w:rPr>
          <w:rFonts w:ascii="Arial" w:hAnsi="Arial"/>
          <w:b w:val="0"/>
          <w:i w:val="0"/>
          <w:color w:val="232830"/>
          <w:sz w:val="19"/>
        </w:rPr>
        <w:t>Service: Cardiology</w:t>
      </w:r>
    </w:p>
    <w:p>
      <w:r>
        <w:rPr>
          <w:rFonts w:ascii="Arial" w:hAnsi="Arial"/>
          <w:b w:val="0"/>
          <w:i w:val="0"/>
          <w:color w:val="232830"/>
          <w:sz w:val="19"/>
        </w:rPr>
        <w:t>Consult window: HD2-HD6, with active follow-up through 05/23/2026 before 18:00</w:t>
      </w:r>
    </w:p>
    <w:p>
      <w:r>
        <w:rPr>
          <w:rFonts w:ascii="Arial" w:hAnsi="Arial"/>
          <w:b w:val="0"/>
          <w:i w:val="0"/>
          <w:color w:val="232830"/>
          <w:sz w:val="19"/>
        </w:rPr>
        <w:t>Reason for consultation: HFrEF/CAD medication management during recovery from suspected infection physiology, AKI on CKD stage 3, low-normal blood pressure, and discharge planning.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INITIAL CARDIOLOGY IMPRESSION - HD2 / 05/19/2026</w:t>
      </w:r>
    </w:p>
    <w:p>
      <w:r>
        <w:rPr>
          <w:rFonts w:ascii="Arial" w:hAnsi="Arial"/>
          <w:b w:val="0"/>
          <w:i w:val="0"/>
          <w:color w:val="232830"/>
          <w:sz w:val="19"/>
        </w:rPr>
        <w:t>Korvin has established HFrEF and CAD with remote PCI/stent history. His outpatient medication pattern supports chronic therapy directed at HFrEF/CAD risk reduction, including sacubitril/valsartan, carvedilol, diuretic therapy, spironolactone, empagliflozin, aspirin, and atorvastatin.</w:t>
      </w:r>
    </w:p>
    <w:p>
      <w:r>
        <w:rPr>
          <w:rFonts w:ascii="Arial" w:hAnsi="Arial"/>
          <w:b w:val="0"/>
          <w:i w:val="0"/>
          <w:color w:val="232830"/>
          <w:sz w:val="19"/>
        </w:rPr>
        <w:t>During the acute admission, temporary holds or cautious administration are understandable given AKI, poor oral intake, and hemodynamic vulnerability. Cardiology's concern is that temporary acute-illness holds can become unintended long-term omissions if not actively reassessed.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interpretation: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admission medication holds are not evidence that chronic HFrEF/CAD therapies are no longer indicated;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aspirin and atorvastatin remain important continuity medications unless contraindications arise;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carvedilol and sacubitril/valsartan require hemodynamic and renal reassessment rather than automatic discontinuation;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spironolactone and empagliflozin require renal, potassium, intake, and acute-illness review;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diuretic strategy should be individualized to volume status rather than copied from home dosing or admission holds.</w:t>
      </w:r>
    </w:p>
    <w:p>
      <w:r>
        <w:rPr>
          <w:rFonts w:ascii="Arial" w:hAnsi="Arial"/>
          <w:b w:val="0"/>
          <w:i w:val="0"/>
          <w:color w:val="232830"/>
          <w:sz w:val="19"/>
        </w:rPr>
        <w:t>This consultation does not create a final medication restart plan.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 REVIEW - HD4 / 05/21/2026</w:t>
      </w:r>
    </w:p>
    <w:p>
      <w:r>
        <w:rPr>
          <w:rFonts w:ascii="Arial" w:hAnsi="Arial"/>
          <w:b w:val="0"/>
          <w:i w:val="0"/>
          <w:color w:val="232830"/>
          <w:sz w:val="19"/>
        </w:rPr>
        <w:t>The objective trend source shows meaningful improvement from admission. Creatinine has improved from 2.62 mg/dL on HD1 to 1.98 mg/dL on HD4, potassium from 5.1 mmol/L to 4.6 mmol/L, WBC trend is improving, and hemodynamics are more stable than at presentation.</w:t>
      </w:r>
    </w:p>
    <w:p>
      <w:r>
        <w:rPr>
          <w:rFonts w:ascii="Arial" w:hAnsi="Arial"/>
          <w:b w:val="0"/>
          <w:i w:val="0"/>
          <w:color w:val="232830"/>
          <w:sz w:val="19"/>
        </w:rPr>
        <w:t>These trends support reassessment of the chronic cardiovascular regimen.</w:t>
      </w:r>
    </w:p>
    <w:p>
      <w:r>
        <w:rPr>
          <w:rFonts w:ascii="Arial" w:hAnsi="Arial"/>
          <w:b w:val="0"/>
          <w:i w:val="0"/>
          <w:color w:val="232830"/>
          <w:sz w:val="19"/>
        </w:rPr>
        <w:t>They do not prove that every medication should be restarted immediately.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Cardiology's main concern is avoidable loss of HFrEF/CAD protection: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prolonged interruption of guideline-directed therapy can increase decompensation risk;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patient who is clinically improving should have a forward plan for reintroduction or documented reasons for continued holding;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"held during AKI" should not remain the only medication logic once the AKI trend improves;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discharge planning should not leave ambiguity about which medications are intentionally held versus temporarily deferred.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recognizes nephrology's concern that renal recovery, potassium, blood pressure, and intake remain relevant. The disagreement is about timing and sequencing, not whether renal safety matters.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HD5-HD6 PRE-CLOSE ADDENDUM - 05/22/2026-05/23/2026 BEFORE 18:00</w:t>
      </w:r>
    </w:p>
    <w:p>
      <w:r>
        <w:rPr>
          <w:rFonts w:ascii="Arial" w:hAnsi="Arial"/>
          <w:b w:val="0"/>
          <w:i w:val="0"/>
          <w:color w:val="232830"/>
          <w:sz w:val="19"/>
        </w:rPr>
        <w:t>By HD5-HD6, Korvin is medically improved enough that discharge planning is plausible. EW12 shows creatinine near the outpatient baseline range by HD6 before world close, potassium 4.4 mmol/L, improved WBC trend, and stable floor hemodynamic pattern. EW13 shows that chronic HFrEF/CAD medications have been held, cautiously administered, or reassessed rather than simply continued.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recommendation frame: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chronic CAD protection such as aspirin and atorvastatin unless a contraindication exists;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reassess carvedilol if blood pressure and symptoms allow, because beta-blocker omission may increase cardiovascular risk;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consider cautious reintroduction planning for sacubitril/valsartan if renal function, potassium, blood pressure, and monitoring feasibility support it;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 not restart spironolactone or empagliflozin reflexively without renal, potassium, intake, and acute-illness context;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avoid discharging with vague "hold all HF meds" language unless the rationale and follow-up plan are explicit.</w:t>
      </w:r>
    </w:p>
    <w:p>
      <w:r>
        <w:rPr>
          <w:rFonts w:ascii="Arial" w:hAnsi="Arial"/>
          <w:b w:val="0"/>
          <w:i w:val="0"/>
          <w:color w:val="232830"/>
          <w:sz w:val="19"/>
        </w:rPr>
        <w:t>This is not a final discharge medication list. It is a specialty recommendation requiring hospitalist synthesis.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MEDICATION-RECONCILIATION INTERPRETATION</w:t>
      </w:r>
    </w:p>
    <w:p>
      <w:r>
        <w:rPr>
          <w:rFonts w:ascii="Arial" w:hAnsi="Arial"/>
          <w:b w:val="0"/>
          <w:i w:val="0"/>
          <w:color w:val="232830"/>
          <w:sz w:val="19"/>
        </w:rPr>
        <w:t>The refill-history report confirms chronic outpatient cardiovascular medication exposure. The MAR/action source confirms inpatient holds and reassessments. Neither source alone determines discharge appropriateness.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Cardiology-specific interpretation: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pharmacy fill history supports chronic indication and prior use;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MAR holds support acute-illness safety decisions;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objective trends support reassessment as the patient improves;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nephrology recommendations are necessary context for timing;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discharge safety and medication-management capacity remain relevant because a complex regimen can fail outside the hospital even if clinically indicated.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RELATIONSHIP TO NEPHROLOGY</w:t>
      </w:r>
    </w:p>
    <w:p>
      <w:r>
        <w:rPr>
          <w:rFonts w:ascii="Arial" w:hAnsi="Arial"/>
          <w:b w:val="0"/>
          <w:i w:val="0"/>
          <w:color w:val="232830"/>
          <w:sz w:val="19"/>
        </w:rPr>
        <w:t>Nephrology's caution is clinically reasonable. Korvin had AKI on CKD, potassium risk, poor intake, and hemodynamic vulnerability. Cardiology does not recommend ignoring those risks.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Cardiology's concern is that renal improvement creates an obligation to decide, sequence, and document a cardiovascular medication strategy rather than let early holds persist by inertia.</w:t>
      </w:r>
    </w:p>
    <w:p>
      <w:r>
        <w:rPr>
          <w:rFonts w:ascii="Arial" w:hAnsi="Arial"/>
          <w:b w:val="0"/>
          <w:i w:val="0"/>
          <w:color w:val="232830"/>
          <w:sz w:val="19"/>
        </w:rPr>
        <w:t>Neither cardiology nor nephrology should be treated as the automatic final answer.</w:t>
      </w:r>
    </w:p>
    <w:p>
      <w:r>
        <w:rPr>
          <w:rFonts w:ascii="Arial" w:hAnsi="Arial"/>
          <w:b w:val="0"/>
          <w:i w:val="0"/>
          <w:color w:val="232830"/>
          <w:sz w:val="19"/>
        </w:rPr>
        <w:t>The primary team should synthesize: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 recovery and potassium trajectory;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blood pressure and symptoms;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HFrEF/CAD long-term risk;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 medication actions;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discharge support and monitoring feasibility;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and functional concerns affecting medication safety.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HFrEF/CAD protective therapy remains important. The patient is improving enough that medication reintroduction planning should be deliberate. The final plan remains timing-sensitive and must incorporate nephrology's renal/hemodynamic concerns.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GUARDRAILS</w:t>
      </w:r>
    </w:p>
    <w:p>
      <w:r>
        <w:rPr>
          <w:rFonts w:ascii="Arial" w:hAnsi="Arial"/>
          <w:b w:val="0"/>
          <w:i w:val="0"/>
          <w:color w:val="232830"/>
          <w:sz w:val="19"/>
        </w:rPr>
        <w:t>This cardiology file is a consultant interpretation. It is not a discharge summary, final medication reconciliation, final disposition decision, or answer file. It does not override attending synthesis, nephrology reasoning, MAR evidence, objective trends, functional evidence, family concern, or future discharge-facing sources.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Dr. Maris Caldrane / Cardiology  |  Cardiology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Cardiology consultation documentation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