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Emergency Department</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05/18/2026 / HD1</w:t>
            </w:r>
          </w:p>
        </w:tc>
        <w:tc>
          <w:tcPr>
            <w:tcW w:type="dxa" w:w="2592"/>
            <w:shd w:val="clear" w:fill="EDF2FA"/>
          </w:tcPr>
          <w:p>
            <w:r>
              <w:rPr>
                <w:rFonts w:ascii="Arial" w:hAnsi="Arial"/>
                <w:b/>
                <w:i w:val="0"/>
                <w:color w:val="5E6670"/>
                <w:sz w:val="14"/>
              </w:rPr>
              <w:t>Source</w:t>
              <w:br/>
            </w:r>
            <w:r>
              <w:rPr>
                <w:rFonts w:ascii="Arial" w:hAnsi="Arial"/>
                <w:b w:val="0"/>
                <w:i w:val="0"/>
                <w:color w:val="232830"/>
                <w:sz w:val="16"/>
              </w:rPr>
              <w:t>Emergency Medicine provider</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ED provider assessment</w:t>
            </w:r>
          </w:p>
        </w:tc>
      </w:tr>
    </w:tbl>
    <w:p>
      <w:pPr>
        <w:spacing w:after="0"/>
      </w:pPr>
    </w:p>
    <w:p>
      <w:pPr>
        <w:spacing w:after="20"/>
      </w:pPr>
      <w:r>
        <w:rPr>
          <w:rFonts w:ascii="Arial" w:hAnsi="Arial"/>
          <w:b/>
          <w:i w:val="0"/>
          <w:color w:val="1F3864"/>
          <w:sz w:val="28"/>
        </w:rPr>
        <w:t>ED PROVIDER ASSESSMENT</w:t>
      </w:r>
    </w:p>
    <w:p>
      <w:pPr>
        <w:spacing w:after="120"/>
      </w:pPr>
      <w:r>
        <w:rPr>
          <w:rFonts w:ascii="Arial" w:hAnsi="Arial"/>
          <w:b w:val="0"/>
          <w:i w:val="0"/>
          <w:color w:val="5E6670"/>
          <w:sz w:val="16"/>
        </w:rPr>
        <w:t>Author: Emergency Medicine provider  |  Department: Emergency Department  |  05/18/2026 / HD1  |  Status: Signed</w:t>
      </w:r>
    </w:p>
    <w:p>
      <w:pPr>
        <w:spacing w:before="180" w:after="60"/>
        <w:pBdr>
          <w:bottom w:val="single" w:sz="6" w:color="C9D4EA" w:space="2"/>
        </w:pBdr>
      </w:pPr>
      <w:r>
        <w:rPr>
          <w:rFonts w:ascii="Arial" w:hAnsi="Arial"/>
          <w:b/>
          <w:i w:val="0"/>
          <w:color w:val="4472C4"/>
          <w:sz w:val="20"/>
        </w:rPr>
        <w:t>EMERGENCY DEPARTMENT PROVIDER NOTE</w:t>
      </w:r>
    </w:p>
    <w:p>
      <w:r>
        <w:rPr>
          <w:rFonts w:ascii="Arial" w:hAnsi="Arial"/>
          <w:b w:val="0"/>
          <w:i w:val="0"/>
          <w:color w:val="232830"/>
          <w:sz w:val="19"/>
        </w:rPr>
        <w:t>Encounter date: 05/18/2026</w:t>
      </w:r>
    </w:p>
    <w:p>
      <w:r>
        <w:rPr>
          <w:rFonts w:ascii="Arial" w:hAnsi="Arial"/>
          <w:b w:val="0"/>
          <w:i w:val="0"/>
          <w:color w:val="232830"/>
          <w:sz w:val="19"/>
        </w:rPr>
        <w:t>Patient: Korvin Merrow</w:t>
      </w:r>
    </w:p>
    <w:p>
      <w:r>
        <w:rPr>
          <w:rFonts w:ascii="Arial" w:hAnsi="Arial"/>
          <w:b w:val="0"/>
          <w:i w:val="0"/>
          <w:color w:val="232830"/>
          <w:sz w:val="19"/>
        </w:rPr>
        <w:t>MRN: KM-6427819</w:t>
      </w:r>
    </w:p>
    <w:p>
      <w:r>
        <w:rPr>
          <w:rFonts w:ascii="Arial" w:hAnsi="Arial"/>
          <w:b w:val="0"/>
          <w:i w:val="0"/>
          <w:color w:val="232830"/>
          <w:sz w:val="19"/>
        </w:rPr>
        <w:t>Author: Emergency Medicine provider</w:t>
      </w:r>
    </w:p>
    <w:p>
      <w:pPr>
        <w:spacing w:before="180" w:after="60"/>
        <w:pBdr>
          <w:bottom w:val="single" w:sz="6" w:color="C9D4EA" w:space="2"/>
        </w:pBdr>
      </w:pPr>
      <w:r>
        <w:rPr>
          <w:rFonts w:ascii="Arial" w:hAnsi="Arial"/>
          <w:b/>
          <w:i w:val="0"/>
          <w:color w:val="4472C4"/>
          <w:sz w:val="20"/>
        </w:rPr>
        <w:t>CHIEF CONCERN</w:t>
      </w:r>
    </w:p>
    <w:p>
      <w:r>
        <w:rPr>
          <w:rFonts w:ascii="Arial" w:hAnsi="Arial"/>
          <w:b w:val="0"/>
          <w:i w:val="0"/>
          <w:color w:val="232830"/>
          <w:sz w:val="19"/>
        </w:rPr>
        <w:t>Progressive weakness, poor oral intake, lightheadedness with near-fall, and family-noted confusion.</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Korvin Merrow is a 62-year-old man with HFrEF, CAD with remote PCI/stent, CKD stage 3, type 2 diabetes, hypertension, hyperlipidemia, diabetic peripheral neuropathy, OSA, anemia of CKD, osteoporosis/osteopenia related to chronic steroid exposure, and PMR with unclear prednisone taper history. He presents with family for worsening weakness and lightheadedness after approximately 3 weeks of decline.</w:t>
      </w:r>
    </w:p>
    <w:p>
      <w:r>
        <w:rPr>
          <w:rFonts w:ascii="Arial" w:hAnsi="Arial"/>
          <w:b w:val="0"/>
          <w:i w:val="0"/>
          <w:color w:val="232830"/>
          <w:sz w:val="19"/>
        </w:rPr>
        <w:t>Family reports reduced appetite and fluid intake, decreased activity, progressive unsteadiness, intermittent confusion compared with baseline, and a near-fall today without head strike. Patient reports fatigue and possible urinary burning or frequency but is not consistent on timing. He denies a clear focal neurologic deficit when asked, though he is slow to answer and family provides much of the history.</w:t>
      </w:r>
    </w:p>
    <w:p>
      <w:r>
        <w:rPr>
          <w:rFonts w:ascii="Arial" w:hAnsi="Arial"/>
          <w:b w:val="0"/>
          <w:i w:val="0"/>
          <w:color w:val="232830"/>
          <w:sz w:val="19"/>
        </w:rPr>
        <w:t>Family brought a medication bag, but the medication history is incomplete. They report recent medication-management mistakes during his decline.</w:t>
      </w:r>
    </w:p>
    <w:p>
      <w:pPr>
        <w:spacing w:before="180" w:after="60"/>
        <w:pBdr>
          <w:bottom w:val="single" w:sz="6" w:color="C9D4EA" w:space="2"/>
        </w:pBdr>
      </w:pPr>
      <w:r>
        <w:rPr>
          <w:rFonts w:ascii="Arial" w:hAnsi="Arial"/>
          <w:b/>
          <w:i w:val="0"/>
          <w:color w:val="4472C4"/>
          <w:sz w:val="20"/>
        </w:rPr>
        <w:t>RELEVANT BASELINE FROM FAMILY</w:t>
      </w:r>
    </w:p>
    <w:p>
      <w:r>
        <w:rPr>
          <w:rFonts w:ascii="Arial" w:hAnsi="Arial"/>
          <w:b w:val="0"/>
          <w:i w:val="0"/>
          <w:color w:val="232830"/>
          <w:sz w:val="19"/>
        </w:rPr>
        <w:t>Family states Korvin is usually independent with basic activities, lives with family, and may use a cane intermittently. He is usually oriented and participates in medication routines with family oversight. Current mental slowness and dependence are described as a meaningful deviation from baseline.</w:t>
      </w:r>
    </w:p>
    <w:p>
      <w:pPr>
        <w:spacing w:before="180" w:after="60"/>
        <w:pBdr>
          <w:bottom w:val="single" w:sz="6" w:color="C9D4EA" w:space="2"/>
        </w:pBdr>
      </w:pPr>
      <w:r>
        <w:rPr>
          <w:rFonts w:ascii="Arial" w:hAnsi="Arial"/>
          <w:b/>
          <w:i w:val="0"/>
          <w:color w:val="4472C4"/>
          <w:sz w:val="20"/>
        </w:rPr>
        <w:t>ED ASSESSMENT</w:t>
      </w:r>
    </w:p>
    <w:p>
      <w:r>
        <w:rPr>
          <w:rFonts w:ascii="Arial" w:hAnsi="Arial"/>
          <w:b w:val="0"/>
          <w:i w:val="0"/>
          <w:color w:val="232830"/>
          <w:sz w:val="19"/>
        </w:rPr>
        <w:t>This is a medically complex patient with suspected infection physiology, poor intake, possible urinary symptoms, altered baseline mental status, and risk for AKI on CKD. Given the urinary symptoms, functional decline, borderline hemodynamic concern, and mental status change, suspected urinary-source sepsis is a reasonable early working diagnosis.</w:t>
      </w:r>
    </w:p>
    <w:p>
      <w:r>
        <w:rPr>
          <w:rFonts w:ascii="Arial" w:hAnsi="Arial"/>
          <w:b w:val="0"/>
          <w:i w:val="0"/>
          <w:color w:val="232830"/>
          <w:sz w:val="19"/>
        </w:rPr>
        <w:t>The ED differential remains broader than infection alone and includes dehydration/volume depletion, AKI or electrolyte disturbance, medication effects, steroid/taper-related physiology, cardiac contribution, and deconditioning. However, initial sepsis-oriented treatment and inpatient admission are appropriate.</w:t>
      </w:r>
    </w:p>
    <w:p>
      <w:pPr>
        <w:spacing w:before="180" w:after="60"/>
        <w:pBdr>
          <w:bottom w:val="single" w:sz="6" w:color="C9D4EA" w:space="2"/>
        </w:pBdr>
      </w:pPr>
      <w:r>
        <w:rPr>
          <w:rFonts w:ascii="Arial" w:hAnsi="Arial"/>
          <w:b/>
          <w:i w:val="0"/>
          <w:color w:val="4472C4"/>
          <w:sz w:val="20"/>
        </w:rPr>
        <w:t>INITIAL PROBLEM LIST</w:t>
      </w:r>
    </w:p>
    <w:p>
      <w:r>
        <w:rPr>
          <w:rFonts w:ascii="Arial" w:hAnsi="Arial"/>
          <w:b w:val="0"/>
          <w:i w:val="0"/>
          <w:color w:val="232830"/>
          <w:sz w:val="19"/>
        </w:rPr>
        <w:t>1. Suspected urinary-source infection / sepsis physiology.</w:t>
      </w:r>
    </w:p>
    <w:p>
      <w:r>
        <w:rPr>
          <w:rFonts w:ascii="Arial" w:hAnsi="Arial"/>
          <w:b w:val="0"/>
          <w:i w:val="0"/>
          <w:color w:val="232830"/>
          <w:sz w:val="19"/>
        </w:rPr>
        <w:t>2. Altered baseline mental status, likely multifactorial.</w:t>
      </w:r>
    </w:p>
    <w:p>
      <w:r>
        <w:rPr>
          <w:rFonts w:ascii="Arial" w:hAnsi="Arial"/>
          <w:b w:val="0"/>
          <w:i w:val="0"/>
          <w:color w:val="232830"/>
          <w:sz w:val="19"/>
        </w:rPr>
        <w:t>3. Progressive weakness and near-fall/lightheadedness.</w:t>
      </w:r>
    </w:p>
    <w:p>
      <w:r>
        <w:rPr>
          <w:rFonts w:ascii="Arial" w:hAnsi="Arial"/>
          <w:b w:val="0"/>
          <w:i w:val="0"/>
          <w:color w:val="232830"/>
          <w:sz w:val="19"/>
        </w:rPr>
        <w:t>4. Poor oral intake with dehydration and AKI-on-CKD risk.</w:t>
      </w:r>
    </w:p>
    <w:p>
      <w:r>
        <w:rPr>
          <w:rFonts w:ascii="Arial" w:hAnsi="Arial"/>
          <w:b w:val="0"/>
          <w:i w:val="0"/>
          <w:color w:val="232830"/>
          <w:sz w:val="19"/>
        </w:rPr>
        <w:t>5. HFrEF/CAD with chronic cardioprotective medication burden.</w:t>
      </w:r>
    </w:p>
    <w:p>
      <w:r>
        <w:rPr>
          <w:rFonts w:ascii="Arial" w:hAnsi="Arial"/>
          <w:b w:val="0"/>
          <w:i w:val="0"/>
          <w:color w:val="232830"/>
          <w:sz w:val="19"/>
        </w:rPr>
        <w:t>6. Type 2 diabetes with acute illness and poor intake.</w:t>
      </w:r>
    </w:p>
    <w:p>
      <w:r>
        <w:rPr>
          <w:rFonts w:ascii="Arial" w:hAnsi="Arial"/>
          <w:b w:val="0"/>
          <w:i w:val="0"/>
          <w:color w:val="232830"/>
          <w:sz w:val="19"/>
        </w:rPr>
        <w:t>7. PMR with unclear prednisone taper or recent exposure.</w:t>
      </w:r>
    </w:p>
    <w:p>
      <w:r>
        <w:rPr>
          <w:rFonts w:ascii="Arial" w:hAnsi="Arial"/>
          <w:b w:val="0"/>
          <w:i w:val="0"/>
          <w:color w:val="232830"/>
          <w:sz w:val="19"/>
        </w:rPr>
        <w:t>8. Functional decline and family concern about baseline deviation.</w:t>
      </w:r>
    </w:p>
    <w:p>
      <w:pPr>
        <w:spacing w:before="180" w:after="60"/>
        <w:pBdr>
          <w:bottom w:val="single" w:sz="6" w:color="C9D4EA" w:space="2"/>
        </w:pBdr>
      </w:pPr>
      <w:r>
        <w:rPr>
          <w:rFonts w:ascii="Arial" w:hAnsi="Arial"/>
          <w:b/>
          <w:i w:val="0"/>
          <w:color w:val="4472C4"/>
          <w:sz w:val="20"/>
        </w:rPr>
        <w:t>ED PLAN</w:t>
      </w:r>
    </w:p>
    <w:p>
      <w:pPr>
        <w:pStyle w:val="ListBullet"/>
        <w:spacing w:after="30"/>
      </w:pPr>
      <w:r>
        <w:rPr>
          <w:rFonts w:ascii="Arial" w:hAnsi="Arial"/>
          <w:b w:val="0"/>
          <w:i w:val="0"/>
          <w:color w:val="232830"/>
          <w:sz w:val="19"/>
        </w:rPr>
        <w:t>Begin infection-oriented evaluation and treatment.</w:t>
      </w:r>
    </w:p>
    <w:p>
      <w:pPr>
        <w:pStyle w:val="ListBullet"/>
        <w:spacing w:after="30"/>
      </w:pPr>
      <w:r>
        <w:rPr>
          <w:rFonts w:ascii="Arial" w:hAnsi="Arial"/>
          <w:b w:val="0"/>
          <w:i w:val="0"/>
          <w:color w:val="232830"/>
          <w:sz w:val="19"/>
        </w:rPr>
        <w:t>Provide cautious fluid strategy given poor intake and CKD/HFrEF history.</w:t>
      </w:r>
    </w:p>
    <w:p>
      <w:pPr>
        <w:pStyle w:val="ListBullet"/>
        <w:spacing w:after="30"/>
      </w:pPr>
      <w:r>
        <w:rPr>
          <w:rFonts w:ascii="Arial" w:hAnsi="Arial"/>
          <w:b w:val="0"/>
          <w:i w:val="0"/>
          <w:color w:val="232830"/>
          <w:sz w:val="19"/>
        </w:rPr>
        <w:t>Evaluate renal function and metabolic contributors.</w:t>
      </w:r>
    </w:p>
    <w:p>
      <w:pPr>
        <w:pStyle w:val="ListBullet"/>
        <w:spacing w:after="30"/>
      </w:pPr>
      <w:r>
        <w:rPr>
          <w:rFonts w:ascii="Arial" w:hAnsi="Arial"/>
          <w:b w:val="0"/>
          <w:i w:val="0"/>
          <w:color w:val="232830"/>
          <w:sz w:val="19"/>
        </w:rPr>
        <w:t>Obtain medication reconciliation with pharmacy/family support when available.</w:t>
      </w:r>
    </w:p>
    <w:p>
      <w:pPr>
        <w:pStyle w:val="ListBullet"/>
        <w:spacing w:after="30"/>
      </w:pPr>
      <w:r>
        <w:rPr>
          <w:rFonts w:ascii="Arial" w:hAnsi="Arial"/>
          <w:b w:val="0"/>
          <w:i w:val="0"/>
          <w:color w:val="232830"/>
          <w:sz w:val="19"/>
        </w:rPr>
        <w:t>Admit to Hospitalist Service for ongoing management, medication safety review, and functional/disposition assessment.</w:t>
      </w:r>
    </w:p>
    <w:p>
      <w:pPr>
        <w:spacing w:before="180" w:after="60"/>
        <w:pBdr>
          <w:bottom w:val="single" w:sz="6" w:color="C9D4EA" w:space="2"/>
        </w:pBdr>
      </w:pPr>
      <w:r>
        <w:rPr>
          <w:rFonts w:ascii="Arial" w:hAnsi="Arial"/>
          <w:b/>
          <w:i w:val="0"/>
          <w:color w:val="4472C4"/>
          <w:sz w:val="20"/>
        </w:rPr>
        <w:t>ED CLINICAL REASONING NOTE</w:t>
      </w:r>
    </w:p>
    <w:p>
      <w:r>
        <w:rPr>
          <w:rFonts w:ascii="Arial" w:hAnsi="Arial"/>
          <w:b w:val="0"/>
          <w:i w:val="0"/>
          <w:color w:val="232830"/>
          <w:sz w:val="19"/>
        </w:rPr>
        <w:t>The initial infection frame is reasonable based on current presentation. It should not be treated as the only possible contributor, especially given chronic steroid exposure, CKD/HF medication burden, poor intake, neuropathy, deconditioning, and family report of functional decline.</w:t>
      </w:r>
    </w:p>
    <w:p>
      <w:pPr>
        <w:spacing w:before="200"/>
        <w:pBdr>
          <w:top w:val="single" w:sz="4" w:color="C9D4EA" w:space="4"/>
        </w:pBdr>
      </w:pPr>
      <w:r>
        <w:rPr>
          <w:rFonts w:ascii="Arial" w:hAnsi="Arial"/>
          <w:b w:val="0"/>
          <w:i/>
          <w:color w:val="5E6670"/>
          <w:sz w:val="18"/>
        </w:rPr>
        <w:t>Electronically signed by Emergency Medicine provider  |  Emergency Department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ED provider assessment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