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c>
          <w:tcPr>
            <w:tcW w:type="dxa" w:w="10368"/>
            <w:shd w:val="clear" w:fill="FFF8E1"/>
          </w:tcPr>
          <w:p>
            <w:pPr>
              <w:spacing w:before="40" w:after="40"/>
              <w:jc w:val="center"/>
            </w:pPr>
            <w:r>
              <w:rPr>
                <w:rFonts w:ascii="Arial" w:hAnsi="Arial"/>
                <w:b/>
                <w:i w:val="0"/>
                <w:color w:val="9A6000"/>
                <w:sz w:val="16"/>
              </w:rPr>
              <w:t>SYNTHETIC TRAINING DOCUMENT  |  FICTIONAL PATIENT  |  NOT A REAL MEDICAL RECORD</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Rehabilitation Services</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 / Anchor</w:t>
              <w:br/>
            </w:r>
            <w:r>
              <w:rPr>
                <w:rFonts w:ascii="Arial" w:hAnsi="Arial"/>
                <w:b w:val="0"/>
                <w:i w:val="0"/>
                <w:color w:val="232830"/>
                <w:sz w:val="16"/>
              </w:rPr>
              <w:t>HD3-HD6 through 05/23/2026 18:00</w:t>
            </w:r>
          </w:p>
        </w:tc>
        <w:tc>
          <w:tcPr>
            <w:tcW w:type="dxa" w:w="2592"/>
            <w:shd w:val="clear" w:fill="EDF2FA"/>
          </w:tcPr>
          <w:p>
            <w:r>
              <w:rPr>
                <w:rFonts w:ascii="Arial" w:hAnsi="Arial"/>
                <w:b/>
                <w:i w:val="0"/>
                <w:color w:val="5E6670"/>
                <w:sz w:val="14"/>
              </w:rPr>
              <w:t>Source</w:t>
              <w:br/>
            </w:r>
            <w:r>
              <w:rPr>
                <w:rFonts w:ascii="Arial" w:hAnsi="Arial"/>
                <w:b w:val="0"/>
                <w:i w:val="0"/>
                <w:color w:val="232830"/>
                <w:sz w:val="16"/>
              </w:rPr>
              <w:t>Occupational Therapy service</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Occupational Therapy assessment</w:t>
            </w:r>
          </w:p>
        </w:tc>
      </w:tr>
    </w:tbl>
    <w:p>
      <w:pPr>
        <w:spacing w:after="0"/>
      </w:pPr>
    </w:p>
    <w:p>
      <w:pPr>
        <w:spacing w:after="20"/>
      </w:pPr>
      <w:r>
        <w:rPr>
          <w:rFonts w:ascii="Arial" w:hAnsi="Arial"/>
          <w:b/>
          <w:i w:val="0"/>
          <w:color w:val="1F3864"/>
          <w:sz w:val="28"/>
        </w:rPr>
        <w:t>OCCUPATIONAL THERAPY ASSESSMENT</w:t>
      </w:r>
    </w:p>
    <w:p>
      <w:pPr>
        <w:spacing w:after="120"/>
      </w:pPr>
      <w:r>
        <w:rPr>
          <w:rFonts w:ascii="Arial" w:hAnsi="Arial"/>
          <w:b w:val="0"/>
          <w:i w:val="0"/>
          <w:color w:val="5E6670"/>
          <w:sz w:val="16"/>
        </w:rPr>
        <w:t>Author: Occupational Therapy service  |  Department: Rehabilitation Services  |  HD3-HD6 through 05/23/2026 18:00  |  Status: Signed</w:t>
      </w:r>
    </w:p>
    <w:p>
      <w:pPr>
        <w:spacing w:before="180" w:after="60"/>
        <w:pBdr>
          <w:bottom w:val="single" w:sz="6" w:color="C9D4EA" w:space="2"/>
        </w:pBdr>
      </w:pPr>
      <w:r>
        <w:rPr>
          <w:rFonts w:ascii="Arial" w:hAnsi="Arial"/>
          <w:b/>
          <w:i w:val="0"/>
          <w:color w:val="4472C4"/>
          <w:sz w:val="20"/>
        </w:rPr>
        <w:t>OCCUPATIONAL THERAPY DOCUMENTATION</w:t>
      </w:r>
    </w:p>
    <w:p>
      <w:r>
        <w:rPr>
          <w:rFonts w:ascii="Arial" w:hAnsi="Arial"/>
          <w:b w:val="0"/>
          <w:i w:val="0"/>
          <w:color w:val="232830"/>
          <w:sz w:val="19"/>
        </w:rPr>
        <w:t>Patient: Korvin Merrow</w:t>
      </w:r>
    </w:p>
    <w:p>
      <w:r>
        <w:rPr>
          <w:rFonts w:ascii="Arial" w:hAnsi="Arial"/>
          <w:b w:val="0"/>
          <w:i w:val="0"/>
          <w:color w:val="232830"/>
          <w:sz w:val="19"/>
        </w:rPr>
        <w:t>Service: Occupational Therapy</w:t>
      </w:r>
    </w:p>
    <w:p>
      <w:r>
        <w:rPr>
          <w:rFonts w:ascii="Arial" w:hAnsi="Arial"/>
          <w:b w:val="0"/>
          <w:i w:val="0"/>
          <w:color w:val="232830"/>
          <w:sz w:val="19"/>
        </w:rPr>
        <w:t>Evaluation window: HD3-HD6 before world close.</w:t>
      </w:r>
    </w:p>
    <w:p>
      <w:r>
        <w:rPr>
          <w:rFonts w:ascii="Arial" w:hAnsi="Arial"/>
          <w:b w:val="0"/>
          <w:i w:val="0"/>
          <w:color w:val="232830"/>
          <w:sz w:val="19"/>
        </w:rPr>
        <w:t>This file describes ADL, cognitive-functional, and medication-management observations. It is not a final medication reconciliation, final discharge plan, or answer file.</w:t>
      </w:r>
    </w:p>
    <w:p>
      <w:pPr>
        <w:spacing w:before="180" w:after="60"/>
        <w:pBdr>
          <w:bottom w:val="single" w:sz="6" w:color="C9D4EA" w:space="2"/>
        </w:pBdr>
      </w:pPr>
      <w:r>
        <w:rPr>
          <w:rFonts w:ascii="Arial" w:hAnsi="Arial"/>
          <w:b/>
          <w:i w:val="0"/>
          <w:color w:val="4472C4"/>
          <w:sz w:val="20"/>
        </w:rPr>
        <w:t>REASON FOR OT</w:t>
      </w:r>
    </w:p>
    <w:p>
      <w:r>
        <w:rPr>
          <w:rFonts w:ascii="Arial" w:hAnsi="Arial"/>
          <w:b w:val="0"/>
          <w:i w:val="0"/>
          <w:color w:val="232830"/>
          <w:sz w:val="19"/>
        </w:rPr>
        <w:t>Occupational therapy was consulted because Korvin's hospitalization included altered baseline cognition, weakness, near-fall, complex medication regimen, diabetic neuropathy, and family concern that he remained below his usual home function despite medical improvement.</w:t>
      </w:r>
    </w:p>
    <w:p>
      <w:r>
        <w:rPr>
          <w:rFonts w:ascii="Arial" w:hAnsi="Arial"/>
          <w:b w:val="0"/>
          <w:i w:val="0"/>
          <w:color w:val="232830"/>
          <w:sz w:val="19"/>
        </w:rPr>
        <w:t>Baseline from chart/family: independent with basic self-care at slower pace, participates in household routine, family provides oversight for complex medications.</w:t>
      </w:r>
    </w:p>
    <w:p>
      <w:pPr>
        <w:spacing w:before="180" w:after="60"/>
        <w:pBdr>
          <w:bottom w:val="single" w:sz="6" w:color="C9D4EA" w:space="2"/>
        </w:pBdr>
      </w:pPr>
      <w:r>
        <w:rPr>
          <w:rFonts w:ascii="Arial" w:hAnsi="Arial"/>
          <w:b/>
          <w:i w:val="0"/>
          <w:color w:val="4472C4"/>
          <w:sz w:val="20"/>
        </w:rPr>
        <w:t>HD3 INITIAL OT ASSESSMENT - 05/20/2026</w:t>
      </w:r>
    </w:p>
    <w:p>
      <w:r>
        <w:rPr>
          <w:rFonts w:ascii="Arial" w:hAnsi="Arial"/>
          <w:b w:val="0"/>
          <w:i w:val="0"/>
          <w:color w:val="232830"/>
          <w:sz w:val="19"/>
        </w:rPr>
        <w:t>Korvin was pleasant and cooperative. He followed simple one-step instructions reliably, but multi-step tasks required repetition when he was fatigued.</w:t>
      </w:r>
    </w:p>
    <w:p>
      <w:r>
        <w:rPr>
          <w:rFonts w:ascii="Arial" w:hAnsi="Arial"/>
          <w:b w:val="0"/>
          <w:i w:val="0"/>
          <w:color w:val="232830"/>
          <w:sz w:val="19"/>
        </w:rPr>
        <w:t>ADL observations:</w:t>
      </w:r>
    </w:p>
    <w:p>
      <w:pPr>
        <w:pStyle w:val="ListBullet"/>
        <w:spacing w:after="30"/>
      </w:pPr>
      <w:r>
        <w:rPr>
          <w:rFonts w:ascii="Arial" w:hAnsi="Arial"/>
          <w:b w:val="0"/>
          <w:i w:val="0"/>
          <w:color w:val="232830"/>
          <w:sz w:val="19"/>
        </w:rPr>
        <w:t>grooming at sink: completed with setup and supervision;</w:t>
      </w:r>
    </w:p>
    <w:p>
      <w:pPr>
        <w:pStyle w:val="ListBullet"/>
        <w:spacing w:after="30"/>
      </w:pPr>
      <w:r>
        <w:rPr>
          <w:rFonts w:ascii="Arial" w:hAnsi="Arial"/>
          <w:b w:val="0"/>
          <w:i w:val="0"/>
          <w:color w:val="232830"/>
          <w:sz w:val="19"/>
        </w:rPr>
        <w:t>lower-body dressing simulation: extra time and balance support needed;</w:t>
      </w:r>
    </w:p>
    <w:p>
      <w:pPr>
        <w:pStyle w:val="ListBullet"/>
        <w:spacing w:after="30"/>
      </w:pPr>
      <w:r>
        <w:rPr>
          <w:rFonts w:ascii="Arial" w:hAnsi="Arial"/>
          <w:b w:val="0"/>
          <w:i w:val="0"/>
          <w:color w:val="232830"/>
          <w:sz w:val="19"/>
        </w:rPr>
        <w:t>toileting transfer simulation: supervision with cueing for hand placement and pacing;</w:t>
      </w:r>
    </w:p>
    <w:p>
      <w:pPr>
        <w:pStyle w:val="ListBullet"/>
        <w:spacing w:after="30"/>
      </w:pPr>
      <w:r>
        <w:rPr>
          <w:rFonts w:ascii="Arial" w:hAnsi="Arial"/>
          <w:b w:val="0"/>
          <w:i w:val="0"/>
          <w:color w:val="232830"/>
          <w:sz w:val="19"/>
        </w:rPr>
        <w:t>energy conservation: required prompting to rest before becoming visibly fatigued.</w:t>
      </w:r>
    </w:p>
    <w:p>
      <w:r>
        <w:rPr>
          <w:rFonts w:ascii="Arial" w:hAnsi="Arial"/>
          <w:b w:val="0"/>
          <w:i w:val="0"/>
          <w:color w:val="232830"/>
          <w:sz w:val="19"/>
        </w:rPr>
        <w:t>Cognitive-functional observations:</w:t>
      </w:r>
    </w:p>
    <w:p>
      <w:pPr>
        <w:pStyle w:val="ListBullet"/>
        <w:spacing w:after="30"/>
      </w:pPr>
      <w:r>
        <w:rPr>
          <w:rFonts w:ascii="Arial" w:hAnsi="Arial"/>
          <w:b w:val="0"/>
          <w:i w:val="0"/>
          <w:color w:val="232830"/>
          <w:sz w:val="19"/>
        </w:rPr>
        <w:t>oriented to person/place and general situation;</w:t>
      </w:r>
    </w:p>
    <w:p>
      <w:pPr>
        <w:pStyle w:val="ListBullet"/>
        <w:spacing w:after="30"/>
      </w:pPr>
      <w:r>
        <w:rPr>
          <w:rFonts w:ascii="Arial" w:hAnsi="Arial"/>
          <w:b w:val="0"/>
          <w:i w:val="0"/>
          <w:color w:val="232830"/>
          <w:sz w:val="19"/>
        </w:rPr>
        <w:t>slower to sequence unfamiliar instructions;</w:t>
      </w:r>
    </w:p>
    <w:p>
      <w:pPr>
        <w:pStyle w:val="ListBullet"/>
        <w:spacing w:after="30"/>
      </w:pPr>
      <w:r>
        <w:rPr>
          <w:rFonts w:ascii="Arial" w:hAnsi="Arial"/>
          <w:b w:val="0"/>
          <w:i w:val="0"/>
          <w:color w:val="232830"/>
          <w:sz w:val="19"/>
        </w:rPr>
        <w:t>uncertain when asked to explain recent medication routine;</w:t>
      </w:r>
    </w:p>
    <w:p>
      <w:pPr>
        <w:pStyle w:val="ListBullet"/>
        <w:spacing w:after="30"/>
      </w:pPr>
      <w:r>
        <w:rPr>
          <w:rFonts w:ascii="Arial" w:hAnsi="Arial"/>
          <w:b w:val="0"/>
          <w:i w:val="0"/>
          <w:color w:val="232830"/>
          <w:sz w:val="19"/>
        </w:rPr>
        <w:t>benefited from family collateral for baseline and medication details.</w:t>
      </w:r>
    </w:p>
    <w:p>
      <w:r>
        <w:rPr>
          <w:rFonts w:ascii="Arial" w:hAnsi="Arial"/>
          <w:b w:val="0"/>
          <w:i w:val="0"/>
          <w:color w:val="232830"/>
          <w:sz w:val="19"/>
        </w:rPr>
        <w:t>OT impression: below baseline for complex self-management and endurance-heavy ADLs. Reassess as medical status improves.</w:t>
      </w:r>
    </w:p>
    <w:p>
      <w:pPr>
        <w:spacing w:before="180" w:after="60"/>
        <w:pBdr>
          <w:bottom w:val="single" w:sz="6" w:color="C9D4EA" w:space="2"/>
        </w:pBdr>
      </w:pPr>
      <w:r>
        <w:rPr>
          <w:rFonts w:ascii="Arial" w:hAnsi="Arial"/>
          <w:b/>
          <w:i w:val="0"/>
          <w:color w:val="4472C4"/>
          <w:sz w:val="20"/>
        </w:rPr>
        <w:t>HD4-HD5 TREATMENT OBSERVATIONS</w:t>
      </w:r>
    </w:p>
    <w:p>
      <w:r>
        <w:rPr>
          <w:rFonts w:ascii="Arial" w:hAnsi="Arial"/>
          <w:b w:val="0"/>
          <w:i w:val="0"/>
          <w:color w:val="232830"/>
          <w:sz w:val="19"/>
        </w:rPr>
        <w:t>Korvin improved with repetition and structured cueing. He remembered some safety strategies within a session but did not consistently carry them over without prompting.</w:t>
      </w:r>
    </w:p>
    <w:p>
      <w:r>
        <w:rPr>
          <w:rFonts w:ascii="Arial" w:hAnsi="Arial"/>
          <w:b w:val="0"/>
          <w:i w:val="0"/>
          <w:color w:val="232830"/>
          <w:sz w:val="19"/>
        </w:rPr>
        <w:t>Medication-management simulation:</w:t>
      </w:r>
    </w:p>
    <w:p>
      <w:pPr>
        <w:pStyle w:val="ListBullet"/>
        <w:spacing w:after="30"/>
      </w:pPr>
      <w:r>
        <w:rPr>
          <w:rFonts w:ascii="Arial" w:hAnsi="Arial"/>
          <w:b w:val="0"/>
          <w:i w:val="0"/>
          <w:color w:val="232830"/>
          <w:sz w:val="19"/>
        </w:rPr>
        <w:t>could identify that he takes multiple heart, diabetes, steroid, and supportive medications;</w:t>
      </w:r>
    </w:p>
    <w:p>
      <w:pPr>
        <w:pStyle w:val="ListBullet"/>
        <w:spacing w:after="30"/>
      </w:pPr>
      <w:r>
        <w:rPr>
          <w:rFonts w:ascii="Arial" w:hAnsi="Arial"/>
          <w:b w:val="0"/>
          <w:i w:val="0"/>
          <w:color w:val="232830"/>
          <w:sz w:val="19"/>
        </w:rPr>
        <w:t>could not reliably describe recent prednisone taper or acute medication changes;</w:t>
      </w:r>
    </w:p>
    <w:p>
      <w:pPr>
        <w:pStyle w:val="ListBullet"/>
        <w:spacing w:after="30"/>
      </w:pPr>
      <w:r>
        <w:rPr>
          <w:rFonts w:ascii="Arial" w:hAnsi="Arial"/>
          <w:b w:val="0"/>
          <w:i w:val="0"/>
          <w:color w:val="232830"/>
          <w:sz w:val="19"/>
        </w:rPr>
        <w:t>required cueing to organize pills by timing in a simplified mock task;</w:t>
      </w:r>
    </w:p>
    <w:p>
      <w:pPr>
        <w:pStyle w:val="ListBullet"/>
        <w:spacing w:after="30"/>
      </w:pPr>
      <w:r>
        <w:rPr>
          <w:rFonts w:ascii="Arial" w:hAnsi="Arial"/>
          <w:b w:val="0"/>
          <w:i w:val="0"/>
          <w:color w:val="232830"/>
          <w:sz w:val="19"/>
        </w:rPr>
        <w:t>recognized that family usually helps check the regimen.</w:t>
      </w:r>
    </w:p>
    <w:p>
      <w:r>
        <w:rPr>
          <w:rFonts w:ascii="Arial" w:hAnsi="Arial"/>
          <w:b w:val="0"/>
          <w:i w:val="0"/>
          <w:color w:val="232830"/>
          <w:sz w:val="19"/>
        </w:rPr>
        <w:t>This does not prove he cannot manage medications after discharge. It does show that a complex changed regimen would require clear instructions and support.</w:t>
      </w:r>
    </w:p>
    <w:p>
      <w:r>
        <w:rPr>
          <w:rFonts w:ascii="Arial" w:hAnsi="Arial"/>
          <w:b w:val="0"/>
          <w:i w:val="0"/>
          <w:color w:val="232830"/>
          <w:sz w:val="19"/>
        </w:rPr>
        <w:t>Self-care observations:</w:t>
      </w:r>
    </w:p>
    <w:p>
      <w:pPr>
        <w:pStyle w:val="ListBullet"/>
        <w:spacing w:after="30"/>
      </w:pPr>
      <w:r>
        <w:rPr>
          <w:rFonts w:ascii="Arial" w:hAnsi="Arial"/>
          <w:b w:val="0"/>
          <w:i w:val="0"/>
          <w:color w:val="232830"/>
          <w:sz w:val="19"/>
        </w:rPr>
        <w:t>able to complete upper-body grooming tasks with setup;</w:t>
      </w:r>
    </w:p>
    <w:p>
      <w:pPr>
        <w:pStyle w:val="ListBullet"/>
        <w:spacing w:after="30"/>
      </w:pPr>
      <w:r>
        <w:rPr>
          <w:rFonts w:ascii="Arial" w:hAnsi="Arial"/>
          <w:b w:val="0"/>
          <w:i w:val="0"/>
          <w:color w:val="232830"/>
          <w:sz w:val="19"/>
        </w:rPr>
        <w:t>lower-body dressing and toileting routines required pacing;</w:t>
      </w:r>
    </w:p>
    <w:p>
      <w:pPr>
        <w:pStyle w:val="ListBullet"/>
        <w:spacing w:after="30"/>
      </w:pPr>
      <w:r>
        <w:rPr>
          <w:rFonts w:ascii="Arial" w:hAnsi="Arial"/>
          <w:b w:val="0"/>
          <w:i w:val="0"/>
          <w:color w:val="232830"/>
          <w:sz w:val="19"/>
        </w:rPr>
        <w:t>fatigue increased errors and slowed sequencing;</w:t>
      </w:r>
    </w:p>
    <w:p>
      <w:pPr>
        <w:pStyle w:val="ListBullet"/>
        <w:spacing w:after="30"/>
      </w:pPr>
      <w:r>
        <w:rPr>
          <w:rFonts w:ascii="Arial" w:hAnsi="Arial"/>
          <w:b w:val="0"/>
          <w:i w:val="0"/>
          <w:color w:val="232830"/>
          <w:sz w:val="19"/>
        </w:rPr>
        <w:t>neuropathy and balance limitations made rushing unsafe.</w:t>
      </w:r>
    </w:p>
    <w:p>
      <w:pPr>
        <w:spacing w:before="180" w:after="60"/>
        <w:pBdr>
          <w:bottom w:val="single" w:sz="6" w:color="C9D4EA" w:space="2"/>
        </w:pBdr>
      </w:pPr>
      <w:r>
        <w:rPr>
          <w:rFonts w:ascii="Arial" w:hAnsi="Arial"/>
          <w:b/>
          <w:i w:val="0"/>
          <w:color w:val="4472C4"/>
          <w:sz w:val="20"/>
        </w:rPr>
        <w:t>HD6 BEFORE 18:00 - OT SNAPSHOT</w:t>
      </w:r>
    </w:p>
    <w:p>
      <w:r>
        <w:rPr>
          <w:rFonts w:ascii="Arial" w:hAnsi="Arial"/>
          <w:b w:val="0"/>
          <w:i w:val="0"/>
          <w:color w:val="232830"/>
          <w:sz w:val="19"/>
        </w:rPr>
        <w:t>Korvin was more alert and participated appropriately. He remained slower than baseline report during tasks that combined mobility, sequencing, and medication reasoning.</w:t>
      </w:r>
    </w:p>
    <w:p>
      <w:r>
        <w:rPr>
          <w:rFonts w:ascii="Arial" w:hAnsi="Arial"/>
          <w:b w:val="0"/>
          <w:i w:val="0"/>
          <w:color w:val="232830"/>
          <w:sz w:val="19"/>
        </w:rPr>
        <w:t>OT status before world close:</w:t>
      </w:r>
    </w:p>
    <w:p>
      <w:pPr>
        <w:pStyle w:val="ListBullet"/>
        <w:spacing w:after="30"/>
      </w:pPr>
      <w:r>
        <w:rPr>
          <w:rFonts w:ascii="Arial" w:hAnsi="Arial"/>
          <w:b w:val="0"/>
          <w:i w:val="0"/>
          <w:color w:val="232830"/>
          <w:sz w:val="19"/>
        </w:rPr>
        <w:t>basic ADLs: improving, may be feasible with supervision/setup;</w:t>
      </w:r>
    </w:p>
    <w:p>
      <w:pPr>
        <w:pStyle w:val="ListBullet"/>
        <w:spacing w:after="30"/>
      </w:pPr>
      <w:r>
        <w:rPr>
          <w:rFonts w:ascii="Arial" w:hAnsi="Arial"/>
          <w:b w:val="0"/>
          <w:i w:val="0"/>
          <w:color w:val="232830"/>
          <w:sz w:val="19"/>
        </w:rPr>
        <w:t>instrumental ADLs: not demonstrated at independent baseline;</w:t>
      </w:r>
    </w:p>
    <w:p>
      <w:pPr>
        <w:pStyle w:val="ListBullet"/>
        <w:spacing w:after="30"/>
      </w:pPr>
      <w:r>
        <w:rPr>
          <w:rFonts w:ascii="Arial" w:hAnsi="Arial"/>
          <w:b w:val="0"/>
          <w:i w:val="0"/>
          <w:color w:val="232830"/>
          <w:sz w:val="19"/>
        </w:rPr>
        <w:t>medication routine: high-risk if instructions change and family support is not integrated;</w:t>
      </w:r>
    </w:p>
    <w:p>
      <w:pPr>
        <w:pStyle w:val="ListBullet"/>
        <w:spacing w:after="30"/>
      </w:pPr>
      <w:r>
        <w:rPr>
          <w:rFonts w:ascii="Arial" w:hAnsi="Arial"/>
          <w:b w:val="0"/>
          <w:i w:val="0"/>
          <w:color w:val="232830"/>
          <w:sz w:val="19"/>
        </w:rPr>
        <w:t>cognition: improved from admission but still vulnerable under fatigue or complexity;</w:t>
      </w:r>
    </w:p>
    <w:p>
      <w:pPr>
        <w:pStyle w:val="ListBullet"/>
        <w:spacing w:after="30"/>
      </w:pPr>
      <w:r>
        <w:rPr>
          <w:rFonts w:ascii="Arial" w:hAnsi="Arial"/>
          <w:b w:val="0"/>
          <w:i w:val="0"/>
          <w:color w:val="232830"/>
          <w:sz w:val="19"/>
        </w:rPr>
        <w:t>home-task endurance: limited but improving.</w:t>
      </w:r>
    </w:p>
    <w:p>
      <w:r>
        <w:rPr>
          <w:rFonts w:ascii="Arial" w:hAnsi="Arial"/>
          <w:b w:val="0"/>
          <w:i w:val="0"/>
          <w:color w:val="232830"/>
          <w:sz w:val="19"/>
        </w:rPr>
        <w:t>OT discussed support needs with the team. The discussion did not create a final disposition decision.</w:t>
      </w:r>
    </w:p>
    <w:p>
      <w:pPr>
        <w:spacing w:before="180" w:after="60"/>
        <w:pBdr>
          <w:bottom w:val="single" w:sz="6" w:color="C9D4EA" w:space="2"/>
        </w:pBdr>
      </w:pPr>
      <w:r>
        <w:rPr>
          <w:rFonts w:ascii="Arial" w:hAnsi="Arial"/>
          <w:b/>
          <w:i w:val="0"/>
          <w:color w:val="4472C4"/>
          <w:sz w:val="20"/>
        </w:rPr>
        <w:t>OT INTERPRETATION</w:t>
      </w:r>
    </w:p>
    <w:p>
      <w:r>
        <w:rPr>
          <w:rFonts w:ascii="Arial" w:hAnsi="Arial"/>
          <w:b w:val="0"/>
          <w:i w:val="0"/>
          <w:color w:val="232830"/>
          <w:sz w:val="19"/>
        </w:rPr>
        <w:t>OT concerns are subtle rather than dramatic. Korvin can participate, learn, and improve. The risk is that medical improvement may lead readers to overlook whether he can safely manage new instructions, transfers, and complex medications in a less supervised home environment.</w:t>
      </w:r>
    </w:p>
    <w:p>
      <w:r>
        <w:rPr>
          <w:rFonts w:ascii="Arial" w:hAnsi="Arial"/>
          <w:b w:val="0"/>
          <w:i w:val="0"/>
          <w:color w:val="232830"/>
          <w:sz w:val="19"/>
        </w:rPr>
        <w:t>Key synthesis needs:</w:t>
      </w:r>
    </w:p>
    <w:p>
      <w:pPr>
        <w:pStyle w:val="ListBullet"/>
        <w:spacing w:after="30"/>
      </w:pPr>
      <w:r>
        <w:rPr>
          <w:rFonts w:ascii="Arial" w:hAnsi="Arial"/>
          <w:b w:val="0"/>
          <w:i w:val="0"/>
          <w:color w:val="232830"/>
          <w:sz w:val="19"/>
        </w:rPr>
        <w:t>compare current ADL function with EW7 baseline;</w:t>
      </w:r>
    </w:p>
    <w:p>
      <w:pPr>
        <w:pStyle w:val="ListBullet"/>
        <w:spacing w:after="30"/>
      </w:pPr>
      <w:r>
        <w:rPr>
          <w:rFonts w:ascii="Arial" w:hAnsi="Arial"/>
          <w:b w:val="0"/>
          <w:i w:val="0"/>
          <w:color w:val="232830"/>
          <w:sz w:val="19"/>
        </w:rPr>
        <w:t>integrate PT mobility tolerance;</w:t>
      </w:r>
    </w:p>
    <w:p>
      <w:pPr>
        <w:pStyle w:val="ListBullet"/>
        <w:spacing w:after="30"/>
      </w:pPr>
      <w:r>
        <w:rPr>
          <w:rFonts w:ascii="Arial" w:hAnsi="Arial"/>
          <w:b w:val="0"/>
          <w:i w:val="0"/>
          <w:color w:val="232830"/>
          <w:sz w:val="19"/>
        </w:rPr>
        <w:t>integrate nursing cueing observations;</w:t>
      </w:r>
    </w:p>
    <w:p>
      <w:pPr>
        <w:pStyle w:val="ListBullet"/>
        <w:spacing w:after="30"/>
      </w:pPr>
      <w:r>
        <w:rPr>
          <w:rFonts w:ascii="Arial" w:hAnsi="Arial"/>
          <w:b w:val="0"/>
          <w:i w:val="0"/>
          <w:color w:val="232830"/>
          <w:sz w:val="19"/>
        </w:rPr>
        <w:t>integrate family report of medication-management mistakes;</w:t>
      </w:r>
    </w:p>
    <w:p>
      <w:pPr>
        <w:pStyle w:val="ListBullet"/>
        <w:spacing w:after="30"/>
      </w:pPr>
      <w:r>
        <w:rPr>
          <w:rFonts w:ascii="Arial" w:hAnsi="Arial"/>
          <w:b w:val="0"/>
          <w:i w:val="0"/>
          <w:color w:val="232830"/>
          <w:sz w:val="19"/>
        </w:rPr>
        <w:t>avoid treating the MAR as a final medication plan.</w:t>
      </w:r>
    </w:p>
    <w:p>
      <w:pPr>
        <w:spacing w:before="180" w:after="60"/>
        <w:pBdr>
          <w:bottom w:val="single" w:sz="6" w:color="C9D4EA" w:space="2"/>
        </w:pBdr>
      </w:pPr>
      <w:r>
        <w:rPr>
          <w:rFonts w:ascii="Arial" w:hAnsi="Arial"/>
          <w:b/>
          <w:i w:val="0"/>
          <w:color w:val="4472C4"/>
          <w:sz w:val="20"/>
        </w:rPr>
        <w:t>GUARDRAILS</w:t>
      </w:r>
    </w:p>
    <w:p>
      <w:r>
        <w:rPr>
          <w:rFonts w:ascii="Arial" w:hAnsi="Arial"/>
          <w:b w:val="0"/>
          <w:i w:val="0"/>
          <w:color w:val="232830"/>
          <w:sz w:val="19"/>
        </w:rPr>
        <w:t>EW19 contributes ADL, cognition, and medication-management evidence for Trap #3. It does not decide the final discharge plan, final medication reconciliation, final prednisone taper, or placement. It does not make discharge obviously unsafe by itself.</w:t>
      </w:r>
    </w:p>
    <w:p>
      <w:pPr>
        <w:spacing w:before="200"/>
        <w:pBdr>
          <w:top w:val="single" w:sz="4" w:color="C9D4EA" w:space="4"/>
        </w:pBdr>
      </w:pPr>
      <w:r>
        <w:rPr>
          <w:rFonts w:ascii="Arial" w:hAnsi="Arial"/>
          <w:b w:val="0"/>
          <w:i/>
          <w:color w:val="5E6670"/>
          <w:sz w:val="18"/>
        </w:rPr>
        <w:t>Electronically signed by Occupational Therapy service  |  Rehabilitation Services</w:t>
      </w:r>
    </w:p>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c>
          <w:tcPr>
            <w:tcW w:type="dxa" w:w="10368"/>
            <w:shd w:val="clear" w:fill="FFF8E1"/>
          </w:tcPr>
          <w:p>
            <w:pPr>
              <w:spacing w:before="40" w:after="40"/>
              <w:jc w:val="center"/>
            </w:pPr>
            <w:r>
              <w:rPr>
                <w:rFonts w:ascii="Arial" w:hAnsi="Arial"/>
                <w:b/>
                <w:i w:val="0"/>
                <w:color w:val="9A6000"/>
                <w:sz w:val="16"/>
              </w:rPr>
              <w:t>SYNTHETIC TRAINING DOCUMENT  |  FICTIONAL PATIENT  |  NOT A REAL MEDICAL RECORD</w:t>
            </w:r>
          </w:p>
        </w:tc>
      </w:tr>
    </w:tbl>
    <w:sectPr w:rsidR="00FC693F" w:rsidRPr="0006063C" w:rsidSect="00034616">
      <w:headerReference w:type="default" r:id="rId9"/>
      <w:footerReference w:type="default" r:id="rId10"/>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Occupational Therapy assessment  |  Synthetic training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  |  DOB 02/18/1964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