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c>
          <w:tcPr>
            <w:tcW w:type="dxa" w:w="10368"/>
            <w:shd w:val="clear" w:fill="FFF8E1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9A6000"/>
                <w:sz w:val="16"/>
              </w:rPr>
              <w:t>SYNTHETIC TRAINING DOCUMENT  |  FICTIONAL PATIENT  |  NOT A REAL MEDICAL RECORD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MERCY VALE REGIONAL MEDICAL CENTER</w:t>
            </w:r>
          </w:p>
          <w:p>
            <w:r>
              <w:rPr>
                <w:rFonts w:ascii="Arial" w:hAnsi="Arial"/>
                <w:b w:val="0"/>
                <w:i w:val="0"/>
                <w:color w:val="5E6670"/>
                <w:sz w:val="16"/>
              </w:rPr>
              <w:t>Clinical Data / Laboratory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KORVIN MERROW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62 y  |  Male  |  DOB 02/18/1964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KM-6427819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/ Anchor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HD1-HD6 through 05/23/2026 18:00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Source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Laboratory and vital-sign data source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Lisinopril (cough)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Objective renal / infection / hemodynamic trend summary source</w:t>
            </w:r>
          </w:p>
        </w:tc>
      </w:tr>
    </w:tbl>
    <w:p>
      <w:pPr>
        <w:spacing w:after="0"/>
      </w:pPr>
    </w:p>
    <w:p>
      <w:pPr>
        <w:spacing w:after="20"/>
      </w:pPr>
      <w:r>
        <w:rPr>
          <w:rFonts w:ascii="Arial" w:hAnsi="Arial"/>
          <w:b/>
          <w:i w:val="0"/>
          <w:color w:val="1F3864"/>
          <w:sz w:val="28"/>
        </w:rPr>
        <w:t>OBJECTIVE RENAL / INFECTION / HEMODYNAMIC TREND SUMMARY SOURCE</w:t>
      </w:r>
    </w:p>
    <w:p>
      <w:pPr>
        <w:spacing w:after="120"/>
      </w:pPr>
      <w:r>
        <w:rPr>
          <w:rFonts w:ascii="Arial" w:hAnsi="Arial"/>
          <w:b w:val="0"/>
          <w:i w:val="0"/>
          <w:color w:val="5E6670"/>
          <w:sz w:val="16"/>
        </w:rPr>
        <w:t>Author: Laboratory and vital-sign data source  |  Department: Clinical Data / Laboratory  |  HD1-HD6 through 05/23/2026 18:00  |  Status: Signed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OBJECTIVE TREND SUMMARY</w:t>
      </w:r>
    </w:p>
    <w:p>
      <w:r>
        <w:rPr>
          <w:rFonts w:ascii="Arial" w:hAnsi="Arial"/>
          <w:b w:val="0"/>
          <w:i w:val="0"/>
          <w:color w:val="232830"/>
          <w:sz w:val="19"/>
        </w:rPr>
        <w:t>Patient: Korvin Merrow</w:t>
      </w:r>
    </w:p>
    <w:p>
      <w:r>
        <w:rPr>
          <w:rFonts w:ascii="Arial" w:hAnsi="Arial"/>
          <w:b w:val="0"/>
          <w:i w:val="0"/>
          <w:color w:val="232830"/>
          <w:sz w:val="19"/>
        </w:rPr>
        <w:t>Source: laboratory and vital-sign data source compiled during hospitalization.</w:t>
      </w:r>
    </w:p>
    <w:p>
      <w:r>
        <w:rPr>
          <w:rFonts w:ascii="Arial" w:hAnsi="Arial"/>
          <w:b w:val="0"/>
          <w:i w:val="0"/>
          <w:color w:val="232830"/>
          <w:sz w:val="19"/>
        </w:rPr>
        <w:t>This source is not a physician interpretation note, discharge summary, final medication plan, or disposition decision. It supports trend reasoning only.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BASELINE COMPARATOR REMINDER</w:t>
      </w:r>
    </w:p>
    <w:p>
      <w:r>
        <w:rPr>
          <w:rFonts w:ascii="Arial" w:hAnsi="Arial"/>
          <w:b w:val="0"/>
          <w:i w:val="0"/>
          <w:color w:val="232830"/>
          <w:sz w:val="19"/>
        </w:rPr>
        <w:t>Outpatient baseline comparator anchors from primary care documentation: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Usual creatinine: approximately 1.6-1.8 mg/dL.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Usual eGFR: approximately 40-50 mL/min/1.73 m2.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Chronic hemoglobin: approximately 10.5-11.5 g/dL.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Dry weight: approximately 97 kg.</w:t>
      </w:r>
    </w:p>
    <w:p>
      <w:r>
        <w:rPr>
          <w:rFonts w:ascii="Arial" w:hAnsi="Arial"/>
          <w:b w:val="0"/>
          <w:i w:val="0"/>
          <w:color w:val="232830"/>
          <w:sz w:val="19"/>
        </w:rPr>
        <w:t>These are baseline anchors, not admission values and not discharge values.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INPATIENT TREND TABLE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>
        <w:tc>
          <w:tcPr>
            <w:tcW w:type="dxa" w:w="1037"/>
            <w:shd w:val="clear" w:fill="4472C4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Date / HD</w:t>
            </w:r>
          </w:p>
        </w:tc>
        <w:tc>
          <w:tcPr>
            <w:tcW w:type="dxa" w:w="1037"/>
            <w:shd w:val="clear" w:fill="4472C4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Clinical anchor</w:t>
            </w:r>
          </w:p>
        </w:tc>
        <w:tc>
          <w:tcPr>
            <w:tcW w:type="dxa" w:w="1037"/>
            <w:shd w:val="clear" w:fill="4472C4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Temperature pattern</w:t>
            </w:r>
          </w:p>
        </w:tc>
        <w:tc>
          <w:tcPr>
            <w:tcW w:type="dxa" w:w="1037"/>
            <w:shd w:val="clear" w:fill="4472C4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Blood pressure / hemodynamic pattern</w:t>
            </w:r>
          </w:p>
        </w:tc>
        <w:tc>
          <w:tcPr>
            <w:tcW w:type="dxa" w:w="1037"/>
            <w:shd w:val="clear" w:fill="4472C4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Creatinine</w:t>
            </w:r>
          </w:p>
        </w:tc>
        <w:tc>
          <w:tcPr>
            <w:tcW w:type="dxa" w:w="1037"/>
            <w:shd w:val="clear" w:fill="4472C4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BUN</w:t>
            </w:r>
          </w:p>
        </w:tc>
        <w:tc>
          <w:tcPr>
            <w:tcW w:type="dxa" w:w="1037"/>
            <w:shd w:val="clear" w:fill="4472C4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Potassium</w:t>
            </w:r>
          </w:p>
        </w:tc>
        <w:tc>
          <w:tcPr>
            <w:tcW w:type="dxa" w:w="1037"/>
            <w:shd w:val="clear" w:fill="4472C4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WBC</w:t>
            </w:r>
          </w:p>
        </w:tc>
        <w:tc>
          <w:tcPr>
            <w:tcW w:type="dxa" w:w="1037"/>
            <w:shd w:val="clear" w:fill="4472C4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Glucose pattern</w:t>
            </w:r>
          </w:p>
        </w:tc>
        <w:tc>
          <w:tcPr>
            <w:tcW w:type="dxa" w:w="1037"/>
            <w:shd w:val="clear" w:fill="4472C4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Intake / volume observations</w:t>
            </w:r>
          </w:p>
        </w:tc>
      </w:tr>
      <w:tr>
        <w:tc>
          <w:tcPr>
            <w:tcW w:type="dxa" w:w="1037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05/18 / HD1</w:t>
            </w:r>
          </w:p>
        </w:tc>
        <w:tc>
          <w:tcPr>
            <w:tcW w:type="dxa" w:w="1037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Admission / acute stabilization</w:t>
            </w:r>
          </w:p>
        </w:tc>
        <w:tc>
          <w:tcPr>
            <w:tcW w:type="dxa" w:w="1037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Febrile earlier in course, improving after treatment started</w:t>
            </w:r>
          </w:p>
        </w:tc>
        <w:tc>
          <w:tcPr>
            <w:tcW w:type="dxa" w:w="1037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Borderline low-normal pressures with lightheadedness history</w:t>
            </w:r>
          </w:p>
        </w:tc>
        <w:tc>
          <w:tcPr>
            <w:tcW w:type="dxa" w:w="1037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2.62 mg/dL</w:t>
            </w:r>
          </w:p>
        </w:tc>
        <w:tc>
          <w:tcPr>
            <w:tcW w:type="dxa" w:w="1037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48 mg/dL</w:t>
            </w:r>
          </w:p>
        </w:tc>
        <w:tc>
          <w:tcPr>
            <w:tcW w:type="dxa" w:w="1037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5.1 mmol/L</w:t>
            </w:r>
          </w:p>
        </w:tc>
        <w:tc>
          <w:tcPr>
            <w:tcW w:type="dxa" w:w="1037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15.6 K/uL</w:t>
            </w:r>
          </w:p>
        </w:tc>
        <w:tc>
          <w:tcPr>
            <w:tcW w:type="dxa" w:w="1037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180-260 mg/dL range</w:t>
            </w:r>
          </w:p>
        </w:tc>
        <w:tc>
          <w:tcPr>
            <w:tcW w:type="dxa" w:w="1037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Poor intake, clinically volume vulnerable</w:t>
            </w:r>
          </w:p>
        </w:tc>
      </w:tr>
      <w:tr>
        <w:tc>
          <w:tcPr>
            <w:tcW w:type="dxa" w:w="1037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05/19 / HD2</w:t>
            </w:r>
          </w:p>
        </w:tc>
        <w:tc>
          <w:tcPr>
            <w:tcW w:type="dxa" w:w="1037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Early response</w:t>
            </w:r>
          </w:p>
        </w:tc>
        <w:tc>
          <w:tcPr>
            <w:tcW w:type="dxa" w:w="1037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Lower fever burden</w:t>
            </w:r>
          </w:p>
        </w:tc>
        <w:tc>
          <w:tcPr>
            <w:tcW w:type="dxa" w:w="1037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Still low-normal, improved from presentation but not robust</w:t>
            </w:r>
          </w:p>
        </w:tc>
        <w:tc>
          <w:tcPr>
            <w:tcW w:type="dxa" w:w="1037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2.38 mg/dL</w:t>
            </w:r>
          </w:p>
        </w:tc>
        <w:tc>
          <w:tcPr>
            <w:tcW w:type="dxa" w:w="1037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45 mg/dL</w:t>
            </w:r>
          </w:p>
        </w:tc>
        <w:tc>
          <w:tcPr>
            <w:tcW w:type="dxa" w:w="1037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4.9 mmol/L</w:t>
            </w:r>
          </w:p>
        </w:tc>
        <w:tc>
          <w:tcPr>
            <w:tcW w:type="dxa" w:w="1037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13.8 K/uL</w:t>
            </w:r>
          </w:p>
        </w:tc>
        <w:tc>
          <w:tcPr>
            <w:tcW w:type="dxa" w:w="1037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170-250 mg/dL range</w:t>
            </w:r>
          </w:p>
        </w:tc>
        <w:tc>
          <w:tcPr>
            <w:tcW w:type="dxa" w:w="1037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Oral intake slightly improved</w:t>
            </w:r>
          </w:p>
        </w:tc>
      </w:tr>
      <w:tr>
        <w:tc>
          <w:tcPr>
            <w:tcW w:type="dxa" w:w="1037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05/20 / HD3</w:t>
            </w:r>
          </w:p>
        </w:tc>
        <w:tc>
          <w:tcPr>
            <w:tcW w:type="dxa" w:w="1037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Functional concerns emerge</w:t>
            </w:r>
          </w:p>
        </w:tc>
        <w:tc>
          <w:tcPr>
            <w:tcW w:type="dxa" w:w="1037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Afebrile or near-afebrile trend</w:t>
            </w:r>
          </w:p>
        </w:tc>
        <w:tc>
          <w:tcPr>
            <w:tcW w:type="dxa" w:w="1037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Less symptomatic but not clearly at baseline reserve</w:t>
            </w:r>
          </w:p>
        </w:tc>
        <w:tc>
          <w:tcPr>
            <w:tcW w:type="dxa" w:w="1037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2.12 mg/dL</w:t>
            </w:r>
          </w:p>
        </w:tc>
        <w:tc>
          <w:tcPr>
            <w:tcW w:type="dxa" w:w="1037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39 mg/dL</w:t>
            </w:r>
          </w:p>
        </w:tc>
        <w:tc>
          <w:tcPr>
            <w:tcW w:type="dxa" w:w="1037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4.7 mmol/L</w:t>
            </w:r>
          </w:p>
        </w:tc>
        <w:tc>
          <w:tcPr>
            <w:tcW w:type="dxa" w:w="1037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11.9 K/uL</w:t>
            </w:r>
          </w:p>
        </w:tc>
        <w:tc>
          <w:tcPr>
            <w:tcW w:type="dxa" w:w="1037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160-240 mg/dL range</w:t>
            </w:r>
          </w:p>
        </w:tc>
        <w:tc>
          <w:tcPr>
            <w:tcW w:type="dxa" w:w="1037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Intake improving; fatigue persists</w:t>
            </w:r>
          </w:p>
        </w:tc>
      </w:tr>
      <w:tr>
        <w:tc>
          <w:tcPr>
            <w:tcW w:type="dxa" w:w="1037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05/21 / HD4</w:t>
            </w:r>
          </w:p>
        </w:tc>
        <w:tc>
          <w:tcPr>
            <w:tcW w:type="dxa" w:w="1037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Consultant tension / source reconstruction</w:t>
            </w:r>
          </w:p>
        </w:tc>
        <w:tc>
          <w:tcPr>
            <w:tcW w:type="dxa" w:w="1037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Afebrile trend</w:t>
            </w:r>
          </w:p>
        </w:tc>
        <w:tc>
          <w:tcPr>
            <w:tcW w:type="dxa" w:w="1037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More stable but still vulnerable to medication effects</w:t>
            </w:r>
          </w:p>
        </w:tc>
        <w:tc>
          <w:tcPr>
            <w:tcW w:type="dxa" w:w="1037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1.98 mg/dL</w:t>
            </w:r>
          </w:p>
        </w:tc>
        <w:tc>
          <w:tcPr>
            <w:tcW w:type="dxa" w:w="1037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35 mg/dL</w:t>
            </w:r>
          </w:p>
        </w:tc>
        <w:tc>
          <w:tcPr>
            <w:tcW w:type="dxa" w:w="1037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4.6 mmol/L</w:t>
            </w:r>
          </w:p>
        </w:tc>
        <w:tc>
          <w:tcPr>
            <w:tcW w:type="dxa" w:w="1037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10.8 K/uL</w:t>
            </w:r>
          </w:p>
        </w:tc>
        <w:tc>
          <w:tcPr>
            <w:tcW w:type="dxa" w:w="1037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160-270 mg/dL range</w:t>
            </w:r>
          </w:p>
        </w:tc>
        <w:tc>
          <w:tcPr>
            <w:tcW w:type="dxa" w:w="1037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Intake inconsistent across shifts</w:t>
            </w:r>
          </w:p>
        </w:tc>
      </w:tr>
      <w:tr>
        <w:tc>
          <w:tcPr>
            <w:tcW w:type="dxa" w:w="1037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05/22 / HD5</w:t>
            </w:r>
          </w:p>
        </w:tc>
        <w:tc>
          <w:tcPr>
            <w:tcW w:type="dxa" w:w="1037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Discharge planning becomes plausible</w:t>
            </w:r>
          </w:p>
        </w:tc>
        <w:tc>
          <w:tcPr>
            <w:tcW w:type="dxa" w:w="1037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Afebrile</w:t>
            </w:r>
          </w:p>
        </w:tc>
        <w:tc>
          <w:tcPr>
            <w:tcW w:type="dxa" w:w="1037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Stable enough for reassessment, not enough to ignore renal/HF context</w:t>
            </w:r>
          </w:p>
        </w:tc>
        <w:tc>
          <w:tcPr>
            <w:tcW w:type="dxa" w:w="1037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1.86 mg/dL</w:t>
            </w:r>
          </w:p>
        </w:tc>
        <w:tc>
          <w:tcPr>
            <w:tcW w:type="dxa" w:w="1037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31 mg/dL</w:t>
            </w:r>
          </w:p>
        </w:tc>
        <w:tc>
          <w:tcPr>
            <w:tcW w:type="dxa" w:w="1037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4.5 mmol/L</w:t>
            </w:r>
          </w:p>
        </w:tc>
        <w:tc>
          <w:tcPr>
            <w:tcW w:type="dxa" w:w="1037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9.9 K/uL</w:t>
            </w:r>
          </w:p>
        </w:tc>
        <w:tc>
          <w:tcPr>
            <w:tcW w:type="dxa" w:w="1037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150-260 mg/dL range</w:t>
            </w:r>
          </w:p>
        </w:tc>
        <w:tc>
          <w:tcPr>
            <w:tcW w:type="dxa" w:w="1037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Improved intake, still below usual strength</w:t>
            </w:r>
          </w:p>
        </w:tc>
      </w:tr>
      <w:tr>
        <w:tc>
          <w:tcPr>
            <w:tcW w:type="dxa" w:w="1037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05/23 / HD6 before 18:00</w:t>
            </w:r>
          </w:p>
        </w:tc>
        <w:tc>
          <w:tcPr>
            <w:tcW w:type="dxa" w:w="1037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World-close day / discharge planning</w:t>
            </w:r>
          </w:p>
        </w:tc>
        <w:tc>
          <w:tcPr>
            <w:tcW w:type="dxa" w:w="1037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Afebrile</w:t>
            </w:r>
          </w:p>
        </w:tc>
        <w:tc>
          <w:tcPr>
            <w:tcW w:type="dxa" w:w="1037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Stable on floor checks; orthostatic reserve not fully captured by this table</w:t>
            </w:r>
          </w:p>
        </w:tc>
        <w:tc>
          <w:tcPr>
            <w:tcW w:type="dxa" w:w="1037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1.80 mg/dL</w:t>
            </w:r>
          </w:p>
        </w:tc>
        <w:tc>
          <w:tcPr>
            <w:tcW w:type="dxa" w:w="1037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29 mg/dL</w:t>
            </w:r>
          </w:p>
        </w:tc>
        <w:tc>
          <w:tcPr>
            <w:tcW w:type="dxa" w:w="1037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4.4 mmol/L</w:t>
            </w:r>
          </w:p>
        </w:tc>
        <w:tc>
          <w:tcPr>
            <w:tcW w:type="dxa" w:w="1037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9.4 K/uL</w:t>
            </w:r>
          </w:p>
        </w:tc>
        <w:tc>
          <w:tcPr>
            <w:tcW w:type="dxa" w:w="1037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140-250 mg/dL range</w:t>
            </w:r>
          </w:p>
        </w:tc>
        <w:tc>
          <w:tcPr>
            <w:tcW w:type="dxa" w:w="1037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Intake improved; mobility reserve requires separate sources</w:t>
            </w:r>
          </w:p>
        </w:tc>
      </w:tr>
    </w:tbl>
    <w:p>
      <w:pPr>
        <w:spacing w:after="0"/>
      </w:pP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URINARY / INFECTION DATA CONTEXT</w:t>
      </w:r>
    </w:p>
    <w:p>
      <w:r>
        <w:rPr>
          <w:rFonts w:ascii="Arial" w:hAnsi="Arial"/>
          <w:b w:val="0"/>
          <w:i w:val="0"/>
          <w:color w:val="232830"/>
          <w:sz w:val="19"/>
        </w:rPr>
        <w:t>Available infection-related data support suspected urinary-source infection as a reasonable admission frame, but they do not make infection the only contributor to the hospitalization.</w:t>
      </w:r>
    </w:p>
    <w:p>
      <w:r>
        <w:rPr>
          <w:rFonts w:ascii="Arial" w:hAnsi="Arial"/>
          <w:b w:val="0"/>
          <w:i w:val="0"/>
          <w:color w:val="232830"/>
          <w:sz w:val="19"/>
        </w:rPr>
        <w:t>Summary: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Initial urinary findings were concerning enough to support empiric treatment.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Systemic markers improved over the stay.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Culture/source interpretation is not summarized here as a definitive single-cause answer.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Trend improvement does not resolve functional decline, steroid uncertainty, medication restart timing, or disposition safety.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RENAL / HEMODYNAMIC CONTEXT</w:t>
      </w:r>
    </w:p>
    <w:p>
      <w:r>
        <w:rPr>
          <w:rFonts w:ascii="Arial" w:hAnsi="Arial"/>
          <w:b w:val="0"/>
          <w:i w:val="0"/>
          <w:color w:val="232830"/>
          <w:sz w:val="19"/>
        </w:rPr>
        <w:t>Renal function improves toward outpatient baseline but does not erase acute illness risk. The trend supports reassessment of held medications; it does not prove full restart safety for all chronic medications.</w:t>
      </w:r>
    </w:p>
    <w:p>
      <w:r>
        <w:rPr>
          <w:rFonts w:ascii="Arial" w:hAnsi="Arial"/>
          <w:b w:val="0"/>
          <w:i w:val="0"/>
          <w:color w:val="232830"/>
          <w:sz w:val="19"/>
        </w:rPr>
        <w:t>Important limitations: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 creatinine near baseline does not by itself determine readiness for HFrEF medication restart.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Potassium and blood pressure trends must be reconciled with actual medication actions and consultant timing.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Dry weight is a baseline comparator, not a complete inpatient volume assessment.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FUNCTIONAL / DISPOSITION CONTEXT</w:t>
      </w:r>
    </w:p>
    <w:p>
      <w:r>
        <w:rPr>
          <w:rFonts w:ascii="Arial" w:hAnsi="Arial"/>
          <w:b w:val="0"/>
          <w:i w:val="0"/>
          <w:color w:val="232830"/>
          <w:sz w:val="19"/>
        </w:rPr>
        <w:t>This table captures objective trends but does not capture all functional and cognitive evidence. Nursing, therapy, family, and care-coordination sources remain necessary for disposition-readiness reasoning.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GUARDRAILS</w:t>
      </w:r>
    </w:p>
    <w:p>
      <w:r>
        <w:rPr>
          <w:rFonts w:ascii="Arial" w:hAnsi="Arial"/>
          <w:b w:val="0"/>
          <w:i w:val="0"/>
          <w:color w:val="232830"/>
          <w:sz w:val="19"/>
        </w:rPr>
        <w:t>EW12 is a trend source. It is not an answer file. It does not decide the final infection source, final medication plan, steroid contribution, or discharge readiness.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Electronically signed by Laboratory and vital-sign data source  |  Clinical Data / Laboratory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c>
          <w:tcPr>
            <w:tcW w:type="dxa" w:w="10368"/>
            <w:shd w:val="clear" w:fill="FFF8E1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9A6000"/>
                <w:sz w:val="16"/>
              </w:rPr>
              <w:t>SYNTHETIC TRAINING DOCUMENT  |  FICTIONAL PATIENT  |  NOT A REAL MEDICAL RECORD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5E6670"/>
        <w:sz w:val="15"/>
      </w:rPr>
      <w:t>Mercy Vale Regional Medical Center  |  Objective renal / infection / hemodynamic trend summary source  |  Synthetic training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 w:val="0"/>
        <w:i w:val="0"/>
        <w:color w:val="5E6670"/>
        <w:sz w:val="15"/>
      </w:rPr>
      <w:t>Korvin Merrow  |  MRN KM-6427819  |  DOB 02/18/1964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color w:val="23283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