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888888"/>
        </w:pBdr>
        <w:spacing w:after="80"/>
      </w:pPr>
    </w:p>
    <w:p>
      <w:pPr>
        <w:spacing w:after="0"/>
        <w:jc w:val="center"/>
      </w:pPr>
      <w:r>
        <w:rPr>
          <w:b/>
          <w:i w:val="0"/>
        </w:rPr>
        <w:t>MERCY VALE REGIONAL MEDICAL CENTER</w:t>
      </w:r>
      <w:r>
        <w:rPr>
          <w:b w:val="0"/>
          <w:i w:val="0"/>
        </w:rPr>
        <w:t xml:space="preserve"> — Care Management</w:t>
      </w:r>
    </w:p>
    <w:p>
      <w:pPr>
        <w:spacing w:after="80"/>
        <w:jc w:val="center"/>
      </w:pPr>
      <w:r>
        <w:rPr>
          <w:b w:val="0"/>
          <w:i/>
          <w:sz w:val="20"/>
        </w:rPr>
        <w:t>Confidential</w:t>
      </w:r>
    </w:p>
    <w:p>
      <w:pPr>
        <w:pBdr>
          <w:bottom w:val="single" w:sz="6" w:space="1" w:color="888888"/>
        </w:pBdr>
        <w:spacing w:after="80"/>
      </w:pPr>
    </w:p>
    <w:p>
      <w:pPr>
        <w:spacing w:after="20"/>
      </w:pPr>
      <w:r>
        <w:rPr>
          <w:b/>
          <w:i w:val="0"/>
        </w:rPr>
        <w:t xml:space="preserve">Patient: </w:t>
      </w:r>
      <w:r>
        <w:rPr>
          <w:b w:val="0"/>
          <w:i w:val="0"/>
        </w:rPr>
        <w:t>KORVIN MERROW, 62 y, Male</w:t>
      </w:r>
    </w:p>
    <w:p>
      <w:pPr>
        <w:spacing w:after="20"/>
      </w:pPr>
      <w:r>
        <w:rPr>
          <w:b/>
          <w:i w:val="0"/>
        </w:rPr>
        <w:t xml:space="preserve">DOB: </w:t>
      </w:r>
      <w:r>
        <w:rPr>
          <w:b w:val="0"/>
          <w:i w:val="0"/>
        </w:rPr>
        <w:t>02/18/1964</w:t>
      </w:r>
    </w:p>
    <w:p>
      <w:pPr>
        <w:spacing w:after="20"/>
      </w:pPr>
      <w:r>
        <w:rPr>
          <w:b/>
          <w:i w:val="0"/>
        </w:rPr>
        <w:t xml:space="preserve">MRN: </w:t>
      </w:r>
      <w:r>
        <w:rPr>
          <w:b w:val="0"/>
          <w:i w:val="0"/>
        </w:rPr>
        <w:t>KM-6427819</w:t>
      </w:r>
    </w:p>
    <w:p>
      <w:pPr>
        <w:spacing w:after="20"/>
      </w:pPr>
      <w:r>
        <w:rPr>
          <w:b/>
          <w:i w:val="0"/>
        </w:rPr>
        <w:t xml:space="preserve">FIN: </w:t>
      </w:r>
      <w:r>
        <w:rPr>
          <w:b w:val="0"/>
          <w:i w:val="0"/>
        </w:rPr>
        <w:t>KM-2026-051877</w:t>
      </w:r>
    </w:p>
    <w:p>
      <w:pPr>
        <w:spacing w:after="20"/>
      </w:pPr>
      <w:r>
        <w:rPr>
          <w:b/>
          <w:i w:val="0"/>
        </w:rPr>
        <w:t xml:space="preserve">Unit / Room: </w:t>
      </w:r>
      <w:r>
        <w:rPr>
          <w:b w:val="0"/>
          <w:i w:val="0"/>
        </w:rPr>
        <w:t>5 West Medical, Room 5W-318</w:t>
      </w:r>
    </w:p>
    <w:p>
      <w:pPr>
        <w:spacing w:after="20"/>
      </w:pPr>
      <w:r>
        <w:t>Date / Anchor: 05/22/2026 (HD5) with HD6 status update through 05/23/2026 18:00</w:t>
      </w:r>
    </w:p>
    <w:p>
      <w:pPr>
        <w:spacing w:after="20"/>
      </w:pPr>
      <w:r>
        <w:rPr>
          <w:b/>
          <w:i w:val="0"/>
        </w:rPr>
        <w:t xml:space="preserve">Allergies: </w:t>
      </w:r>
      <w:r>
        <w:rPr>
          <w:b w:val="0"/>
          <w:i w:val="0"/>
        </w:rPr>
        <w:t>Lisinopril (cough)</w:t>
      </w:r>
    </w:p>
    <w:p>
      <w:pPr>
        <w:spacing w:after="20"/>
      </w:pPr>
      <w:r>
        <w:rPr>
          <w:b/>
          <w:i w:val="0"/>
        </w:rPr>
        <w:t xml:space="preserve">Document: </w:t>
      </w:r>
      <w:r>
        <w:rPr>
          <w:b w:val="0"/>
          <w:i w:val="0"/>
        </w:rPr>
        <w:t>Case Management / Social Work discharge-planning note</w:t>
      </w:r>
    </w:p>
    <w:p>
      <w:pPr>
        <w:spacing w:before="120" w:after="20"/>
      </w:pPr>
      <w:r>
        <w:rPr>
          <w:b/>
        </w:rPr>
        <w:t>Authors:</w:t>
      </w:r>
    </w:p>
    <w:p>
      <w:pPr>
        <w:spacing w:after="0"/>
      </w:pPr>
      <w:r>
        <w:rPr>
          <w:b w:val="0"/>
          <w:i w:val="0"/>
        </w:rPr>
        <w:t>Priya Ostroff, RN, BSN, CCM — Case Manager</w:t>
      </w:r>
    </w:p>
    <w:p>
      <w:pPr>
        <w:spacing w:after="0"/>
      </w:pPr>
      <w:r>
        <w:rPr>
          <w:b w:val="0"/>
          <w:i w:val="0"/>
        </w:rPr>
        <w:t>Devra Aimes, LCSW — Social Worker</w:t>
      </w:r>
    </w:p>
    <w:p>
      <w:pPr>
        <w:spacing w:after="80"/>
      </w:pPr>
      <w:r>
        <w:rPr>
          <w:b w:val="0"/>
          <w:i w:val="0"/>
        </w:rPr>
        <w:t>Care Management | (412) 555-0162</w:t>
      </w:r>
    </w:p>
    <w:p>
      <w:pPr>
        <w:spacing w:after="80"/>
      </w:pPr>
      <w:r>
        <w:rPr>
          <w:b/>
          <w:i w:val="0"/>
        </w:rPr>
        <w:t xml:space="preserve">Status: </w:t>
      </w:r>
      <w:r>
        <w:rPr>
          <w:b w:val="0"/>
          <w:i w:val="0"/>
        </w:rPr>
        <w:t>Signed</w:t>
      </w:r>
    </w:p>
    <w:p>
      <w:pPr>
        <w:pBdr>
          <w:bottom w:val="single" w:sz="6" w:space="1" w:color="888888"/>
        </w:pBdr>
        <w:spacing w:after="80"/>
      </w:pPr>
    </w:p>
    <w:p>
      <w:pPr>
        <w:spacing w:before="80" w:after="160"/>
        <w:jc w:val="center"/>
      </w:pPr>
      <w:r>
        <w:rPr>
          <w:b/>
          <w:sz w:val="24"/>
        </w:rPr>
        <w:t>CASE MANAGEMENT / SOCIAL WORK DISCHARGE-PLANNING NOTE</w:t>
      </w:r>
    </w:p>
    <w:p>
      <w:pPr>
        <w:spacing w:after="120"/>
      </w:pPr>
      <w:r>
        <w:t>This note documents transition-planning activity initiated 05/22/2026 (HD5) and updated through HD6 (05/23/2026 18:00). It is intended to capture discharge logistics, caregiver-capacity context, and items still under coordination as of this note. It is not a final disposition decision, discharge order, discharge summary, or service authorization.</w:t>
      </w:r>
    </w:p>
    <w:p>
      <w:pPr>
        <w:spacing w:before="200" w:after="80"/>
      </w:pPr>
      <w:r>
        <w:rPr>
          <w:b/>
          <w:sz w:val="22"/>
        </w:rPr>
        <w:t>REFERRAL REASON</w:t>
      </w:r>
    </w:p>
    <w:p>
      <w:pPr>
        <w:spacing w:after="120"/>
      </w:pPr>
      <w:r>
        <w:t>Case Management / Social Work engaged on 05/22/2026 (HD5) as the primary team began to describe discharge as plausible while functional status, medication complexity, family supervision capacity, and follow-up feasibility remained active questions. The interdisciplinary referral reflects converging concerns from PT (Volkos, DPT), OT (Sayre, OTR/L), nursing, and family (Mara Merrow, primary caregiver and healthcare proxy).</w:t>
      </w:r>
    </w:p>
    <w:p>
      <w:pPr>
        <w:spacing w:after="40"/>
      </w:pPr>
      <w:r>
        <w:rPr>
          <w:b w:val="0"/>
          <w:i w:val="0"/>
        </w:rPr>
        <w:t>Context drawn from chart review:</w:t>
      </w:r>
    </w:p>
    <w:p>
      <w:pPr>
        <w:pStyle w:val="ListBullet"/>
      </w:pPr>
      <w:r>
        <w:t>Family reports a meaningful deviation from baseline that has not fully resolved.</w:t>
      </w:r>
    </w:p>
    <w:p>
      <w:pPr>
        <w:pStyle w:val="ListBullet"/>
      </w:pPr>
      <w:r>
        <w:t>PT/OT and nursing observations document improvement without a clean return to independent baseline.</w:t>
      </w:r>
    </w:p>
    <w:p>
      <w:pPr>
        <w:pStyle w:val="ListBullet"/>
      </w:pPr>
      <w:r>
        <w:t>The home medication regimen is complex; inpatient adjustments to cardiorenal, diabetes, and steroid-related therapy may change the home list further.</w:t>
      </w:r>
    </w:p>
    <w:p>
      <w:pPr>
        <w:pStyle w:val="ListBullet"/>
      </w:pPr>
      <w:r>
        <w:t>Family requests clearly explained instructions, supervision expectations, and a coordinated follow-up plan if discharge proceeds on or about 05/24/2026.</w:t>
      </w:r>
    </w:p>
    <w:p>
      <w:pPr>
        <w:spacing w:before="200" w:after="80"/>
      </w:pPr>
      <w:r>
        <w:rPr>
          <w:b/>
          <w:sz w:val="22"/>
        </w:rPr>
        <w:t>HOME / SUPPORT CONTEXT</w:t>
      </w:r>
    </w:p>
    <w:p>
      <w:pPr>
        <w:spacing w:after="120"/>
      </w:pPr>
      <w:r>
        <w:rPr>
          <w:b w:val="0"/>
          <w:i w:val="0"/>
        </w:rPr>
        <w:t>Korvin lives with his wife Mara Merrow at 1842 Larchmere Lane, Bridgehollow, PA. Adult daughter Lenora Merrow-Halsey provides intermittent support, including transportation and weekend coverage when available. The home is single-story with three exterior steps to the front entry and a half-bath on the main level; bedroom is on the main level.</w:t>
      </w:r>
    </w:p>
    <w:p>
      <w:pPr>
        <w:pStyle w:val="ListBullet"/>
      </w:pPr>
      <w:r>
        <w:t>Family presence is available; hands-on capacity and daily schedule require clarification.</w:t>
      </w:r>
    </w:p>
    <w:p>
      <w:pPr>
        <w:pStyle w:val="ListBullet"/>
      </w:pPr>
      <w:r>
        <w:t>Family can assist with transportation if appointments are coordinated to their availability.</w:t>
      </w:r>
    </w:p>
    <w:p>
      <w:pPr>
        <w:pStyle w:val="ListBullet"/>
      </w:pPr>
      <w:r>
        <w:t>Home medication routine is already complex and operates with family oversight.</w:t>
      </w:r>
    </w:p>
    <w:p>
      <w:pPr>
        <w:pStyle w:val="ListBullet"/>
      </w:pPr>
      <w:r>
        <w:t>Patient may require early supervision for any new or changed instructions.</w:t>
      </w:r>
    </w:p>
    <w:p>
      <w:pPr>
        <w:pStyle w:val="ListBullet"/>
      </w:pPr>
      <w:r>
        <w:t>Outpatient follow-up will likely involve multiple specialties plus primary care.</w:t>
      </w:r>
    </w:p>
    <w:p>
      <w:pPr>
        <w:spacing w:before="80" w:after="80"/>
      </w:pPr>
      <w:r>
        <w:rPr>
          <w:b w:val="0"/>
          <w:i w:val="0"/>
        </w:rPr>
        <w:t>Home planning is plausible but not automatic.</w:t>
      </w:r>
    </w:p>
    <w:p>
      <w:pPr>
        <w:spacing w:before="200" w:after="80"/>
      </w:pPr>
      <w:r>
        <w:rPr>
          <w:b/>
          <w:sz w:val="22"/>
        </w:rPr>
        <w:t>INSURANCE / BENEFIT CONTEXT</w:t>
      </w:r>
    </w:p>
    <w:p>
      <w:pPr>
        <w:spacing w:after="120"/>
      </w:pPr>
      <w:r>
        <w:t>Primary: Medicare Part A &amp; B (member 1ABC-DE4-F562) — eligibility via qualifying disability determination on file. Secondary: Keystone Senior Supplement Plan G (KSS-77419266, GRP-00481). Pharmacy benefit: Medicare Part D — Keystone Rx (BIN 017920, PCN MEDDPRIME). Benefits coordinator notified of pending discharge timing; home health Medicare eligibility screening initiated but determination not returned at the time of this note.</w:t>
      </w:r>
    </w:p>
    <w:p>
      <w:pPr>
        <w:spacing w:before="200" w:after="80"/>
      </w:pPr>
      <w:r>
        <w:rPr>
          <w:b/>
          <w:sz w:val="22"/>
        </w:rPr>
        <w:t>SERVICES / EQUIPMENT — UNDER DISCUSSION</w:t>
      </w:r>
    </w:p>
    <w:p>
      <w:pPr>
        <w:spacing w:after="40"/>
      </w:pPr>
      <w:r>
        <w:t>The following items are UNDER DISCUSSION with the interdisciplinary team and are not finalized as of this note:</w:t>
      </w:r>
    </w:p>
    <w:p>
      <w:pPr>
        <w:pStyle w:val="ListBullet"/>
      </w:pPr>
      <w:r>
        <w:rPr>
          <w:b/>
          <w:i w:val="0"/>
        </w:rPr>
        <w:t>Home health nursing</w:t>
      </w:r>
      <w:r>
        <w:rPr>
          <w:b w:val="0"/>
          <w:i w:val="0"/>
        </w:rPr>
        <w:t xml:space="preserve"> for medication review and early monitoring — eligibility and acceptance pending. Candidate agency: </w:t>
      </w:r>
      <w:r>
        <w:rPr>
          <w:b/>
          <w:i w:val="0"/>
        </w:rPr>
        <w:t>Keystone HomeCare</w:t>
      </w:r>
      <w:r>
        <w:rPr>
          <w:b w:val="0"/>
          <w:i w:val="0"/>
        </w:rPr>
        <w:t xml:space="preserve"> Services, (412) 555-0631. Referral packet drafted; submission and intake determination pending.</w:t>
      </w:r>
    </w:p>
    <w:p>
      <w:pPr>
        <w:pStyle w:val="ListBullet"/>
      </w:pPr>
      <w:r>
        <w:rPr>
          <w:b/>
          <w:i w:val="0"/>
        </w:rPr>
        <w:t>Home PT/OT versus outpatient therapy</w:t>
      </w:r>
      <w:r>
        <w:rPr>
          <w:b w:val="0"/>
          <w:i w:val="0"/>
        </w:rPr>
        <w:t xml:space="preserve"> — final modality depends on the functional plan signed off by PT and OT at discharge.</w:t>
      </w:r>
    </w:p>
    <w:p>
      <w:pPr>
        <w:pStyle w:val="ListBullet"/>
      </w:pPr>
      <w:r>
        <w:rPr>
          <w:b/>
          <w:i w:val="0"/>
        </w:rPr>
        <w:t>Assistive device consistency</w:t>
      </w:r>
      <w:r>
        <w:rPr>
          <w:b w:val="0"/>
          <w:i w:val="0"/>
        </w:rPr>
        <w:t xml:space="preserve"> — PT (Volkos, DPT) currently recommends a </w:t>
      </w:r>
      <w:r>
        <w:rPr>
          <w:b/>
          <w:i w:val="0"/>
        </w:rPr>
        <w:t>rolling walker</w:t>
      </w:r>
      <w:r>
        <w:rPr>
          <w:b w:val="0"/>
          <w:i w:val="0"/>
        </w:rPr>
        <w:t xml:space="preserve"> for the early post-discharge period; the patient's baseline device is a cane (occasional use). Selection of cane vs rolling walker for home use is unresolved; rolling walker is the current PT recommendation.</w:t>
      </w:r>
    </w:p>
    <w:p>
      <w:pPr>
        <w:pStyle w:val="ListBullet"/>
      </w:pPr>
      <w:r>
        <w:rPr>
          <w:b/>
          <w:i w:val="0"/>
        </w:rPr>
        <w:t>Family education</w:t>
      </w:r>
      <w:r>
        <w:rPr>
          <w:b w:val="0"/>
          <w:i w:val="0"/>
        </w:rPr>
        <w:t xml:space="preserve"> around medication changes, warning signs (worsening weakness, lightheadedness, cognitive change, weight change, decreased intake, signs of decompensation), and supervision expectations.</w:t>
      </w:r>
    </w:p>
    <w:p>
      <w:pPr>
        <w:pStyle w:val="ListBullet"/>
      </w:pPr>
      <w:r>
        <w:t>Follow-up appointment feasibility — PCP Dr. Talia Quenor (within 7 days of discharge), Nephrology Dr. Iven Solthar (within 1–2 weeks), Cardiology Dr. Maris Caldrane (within 2 weeks), Endocrinology Dr. Nerea Veylorn (within 2–4 weeks, taper coordination), Rheumatology Dr. Soren Halvek (within 2–4 weeks for prednisone clarification).</w:t>
      </w:r>
    </w:p>
    <w:p>
      <w:pPr>
        <w:pStyle w:val="ListBullet"/>
      </w:pPr>
      <w:r>
        <w:rPr>
          <w:b/>
          <w:i w:val="0"/>
        </w:rPr>
        <w:t>Transportation</w:t>
      </w:r>
      <w:r>
        <w:rPr>
          <w:b w:val="0"/>
          <w:i w:val="0"/>
        </w:rPr>
        <w:t xml:space="preserve"> for follow-up visits — family availability vs paratransit options under review.</w:t>
      </w:r>
    </w:p>
    <w:p>
      <w:pPr>
        <w:pStyle w:val="ListBullet"/>
      </w:pPr>
      <w:r>
        <w:rPr>
          <w:b/>
          <w:i w:val="0"/>
        </w:rPr>
        <w:t>Pharmacy access and medication pickup logistics</w:t>
      </w:r>
      <w:r>
        <w:rPr>
          <w:b w:val="0"/>
          <w:i w:val="0"/>
        </w:rPr>
        <w:t xml:space="preserve"> — primary outpatient pharmacy of record is </w:t>
      </w:r>
      <w:r>
        <w:rPr>
          <w:b/>
          <w:i w:val="0"/>
        </w:rPr>
        <w:t>Harbor Crest Community Pharmacy</w:t>
      </w:r>
      <w:r>
        <w:rPr>
          <w:b w:val="0"/>
          <w:i w:val="0"/>
        </w:rPr>
        <w:t>, 318 Mill Ridge Road, Bridgehollow, PA 15213, (412) 555-0490. Coordination of first-fill timing for any new or changed medications discussed but not finalized.</w:t>
      </w:r>
    </w:p>
    <w:p>
      <w:pPr>
        <w:spacing w:before="200" w:after="80"/>
      </w:pPr>
      <w:r>
        <w:rPr>
          <w:b/>
          <w:sz w:val="22"/>
        </w:rPr>
        <w:t>FAMILY / TEAM FRICTION</w:t>
      </w:r>
    </w:p>
    <w:p>
      <w:pPr>
        <w:spacing w:after="120"/>
      </w:pPr>
      <w:r>
        <w:t>Family concern is documented as meaningful and specific. Mara is not opposing discharge in principle; she is asking whether Korvin's current function, cognition, and medication-management reliability align with home expectations. Documented quote at the 05/22/2026 family care conference: "Better than Monday is not the same as ready to manage the next steps without support."</w:t>
      </w:r>
    </w:p>
    <w:p>
      <w:pPr>
        <w:spacing w:after="80"/>
      </w:pPr>
      <w:r>
        <w:rPr>
          <w:b w:val="0"/>
          <w:i w:val="0"/>
        </w:rPr>
        <w:t>The primary-team posture is also documented as reasonable: improved hemodynamics, improving renal trajectory, infection markers trending down, and intake recovery. Case Management / Social Work views these as compatible inputs — the transition plan should integrate PT and OT recommendations, nursing functional observations, final medication instructions, family availability, and follow-up logistics. This note does not adjudicate the discharge decision.</w:t>
      </w:r>
    </w:p>
    <w:p>
      <w:pPr>
        <w:spacing w:before="200" w:after="80"/>
      </w:pPr>
      <w:r>
        <w:rPr>
          <w:b/>
          <w:sz w:val="22"/>
        </w:rPr>
        <w:t>MEDICATION ACCESS / INSTRUCTION COORDINATION NEEDS</w:t>
      </w:r>
    </w:p>
    <w:p>
      <w:pPr>
        <w:spacing w:after="40"/>
      </w:pPr>
      <w:r>
        <w:rPr>
          <w:b w:val="0"/>
          <w:i w:val="0"/>
        </w:rPr>
        <w:t>Medication logistics are flagged because the regimen is complex and may change at discharge:</w:t>
      </w:r>
    </w:p>
    <w:p>
      <w:pPr>
        <w:pStyle w:val="ListBullet"/>
      </w:pPr>
      <w:r>
        <w:t>Family education should cover which chronic medications are continued, held, restarted, or deferred once the final medication reconciliation is completed by the hospitalist and pharmacy.</w:t>
      </w:r>
    </w:p>
    <w:p>
      <w:pPr>
        <w:pStyle w:val="ListBullet"/>
      </w:pPr>
      <w:r>
        <w:t>Insulin regimen to be reconciled per pharmacy and attending at discharge.</w:t>
      </w:r>
    </w:p>
    <w:p>
      <w:pPr>
        <w:pStyle w:val="ListBullet"/>
      </w:pPr>
      <w:r>
        <w:t>Prednisone instructions require source-aware explanation (rheumatology intent governs) and should not be inferred from family report or bottle directions alone.</w:t>
      </w:r>
    </w:p>
    <w:p>
      <w:pPr>
        <w:pStyle w:val="ListBullet"/>
      </w:pPr>
      <w:r>
        <w:t>Cardiorenal medication timing (sacubitril/valsartan, spironolactone, empagliflozin, furosemide, carvedilol) requires clear written instructions because Cardiology and Nephrology timing inputs remain in active reconciliation.</w:t>
      </w:r>
    </w:p>
    <w:p>
      <w:pPr>
        <w:spacing w:before="80" w:after="80"/>
      </w:pPr>
      <w:r>
        <w:rPr>
          <w:b w:val="0"/>
          <w:i w:val="0"/>
        </w:rPr>
        <w:t>This note does not create a discharge medication list or final medication reconciliation.</w:t>
      </w:r>
    </w:p>
    <w:p>
      <w:pPr>
        <w:spacing w:before="200" w:after="80"/>
      </w:pPr>
      <w:r>
        <w:rPr>
          <w:b/>
          <w:sz w:val="22"/>
        </w:rPr>
        <w:t>HD6 BEFORE 18:00 — STATUS UPDATE</w:t>
      </w:r>
    </w:p>
    <w:p>
      <w:pPr>
        <w:spacing w:after="40"/>
      </w:pPr>
      <w:r>
        <w:t>Through 05/23/2026 18:00, care coordination remains active. Open items as of this note:</w:t>
      </w:r>
    </w:p>
    <w:p>
      <w:pPr>
        <w:pStyle w:val="ListBullet"/>
      </w:pPr>
      <w:r>
        <w:t>Confirm level of supervision family can sustain across the first 5–7 days at home.</w:t>
      </w:r>
    </w:p>
    <w:p>
      <w:pPr>
        <w:pStyle w:val="ListBullet"/>
      </w:pPr>
      <w:r>
        <w:t>Reconcile PT/OT functional observations with the final medical plan.</w:t>
      </w:r>
    </w:p>
    <w:p>
      <w:pPr>
        <w:pStyle w:val="ListBullet"/>
      </w:pPr>
      <w:r>
        <w:t>Determine whether home services are needed, eligible, and accepted.</w:t>
      </w:r>
    </w:p>
    <w:p>
      <w:pPr>
        <w:pStyle w:val="ListBullet"/>
      </w:pPr>
      <w:r>
        <w:t>Coordinate the follow-up plan if discharge proceeds on 05/24/2026.</w:t>
      </w:r>
    </w:p>
    <w:p>
      <w:pPr>
        <w:pStyle w:val="ListBullet"/>
      </w:pPr>
      <w:r>
        <w:t>Identify an accountable owner for medication teach-back.</w:t>
      </w:r>
    </w:p>
    <w:p>
      <w:pPr>
        <w:spacing w:before="200" w:after="80"/>
      </w:pPr>
      <w:r>
        <w:t>Planning activity is ongoing; status of each item will be updated as discharge approaches.</w:t>
      </w:r>
    </w:p>
    <w:p>
      <w:pPr>
        <w:spacing w:after="160"/>
      </w:pPr>
      <w:r>
        <w:t>This note documents transition-planning activity; finalization of medication reconciliation, functional readiness, and disposition belongs to the integrated team.</w:t>
      </w:r>
    </w:p>
    <w:p>
      <w:pPr>
        <w:pBdr>
          <w:bottom w:val="single" w:sz="6" w:space="1" w:color="888888"/>
        </w:pBdr>
        <w:spacing w:after="80"/>
      </w:pPr>
    </w:p>
    <w:p>
      <w:pPr>
        <w:spacing w:after="20"/>
      </w:pPr>
      <w:r>
        <w:rPr>
          <w:b w:val="0"/>
          <w:i/>
        </w:rPr>
        <w:t>Electronically signed:</w:t>
      </w:r>
    </w:p>
    <w:p>
      <w:pPr>
        <w:spacing w:after="0"/>
      </w:pPr>
      <w:r>
        <w:rPr>
          <w:b w:val="0"/>
          <w:i w:val="0"/>
        </w:rPr>
        <w:t>Priya Ostroff, RN, BSN, CCM — Case Manager</w:t>
      </w:r>
    </w:p>
    <w:p>
      <w:pPr>
        <w:spacing w:after="0"/>
      </w:pPr>
      <w:r>
        <w:rPr>
          <w:b w:val="0"/>
          <w:i w:val="0"/>
        </w:rPr>
        <w:t>Devra Aimes, LCSW — Social Worker</w:t>
      </w:r>
    </w:p>
    <w:p>
      <w:pPr>
        <w:spacing w:after="0"/>
      </w:pPr>
      <w:r>
        <w:rPr>
          <w:b w:val="0"/>
          <w:i w:val="0"/>
        </w:rPr>
        <w:t>Care Management | Mercy Vale Regional Medical Center | (412) 555-0162</w:t>
      </w:r>
    </w:p>
    <w:p>
      <w:pPr>
        <w:spacing w:after="120"/>
      </w:pPr>
      <w:r>
        <w:t>Signed 05/23/2026 17:42</w:t>
      </w:r>
    </w:p>
    <w:p>
      <w:pPr>
        <w:pBdr>
          <w:bottom w:val="single" w:sz="6" w:space="1" w:color="888888"/>
        </w:pBdr>
        <w:spacing w:after="80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