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tbl>
      <w:tblPr>
        <w:tblW w:type="auto" w:w="0"/>
        <w:tblLayout w:type="autofit"/>
        <w:tblLook w:firstColumn="1" w:firstRow="1" w:lastColumn="0" w:lastRow="0" w:noHBand="0" w:noVBand="1" w:val="04A0"/>
      </w:tblPr>
      <w:tblGrid>
        <w:gridCol w:w="5184"/>
        <w:gridCol w:w="5184"/>
      </w:tblGrid>
      <w:tr>
        <w:tc>
          <w:tcPr>
            <w:tcW w:type="dxa" w:w="5184"/>
            <w:tcBorders>
              <w:top w:val="nil"/>
              <w:left w:val="nil"/>
              <w:bottom w:val="nil"/>
              <w:right w:val="nil"/>
            </w:tcBorders>
          </w:tcPr>
          <w:p>
            <w:r>
              <w:rPr>
                <w:rFonts w:ascii="Arial" w:hAnsi="Arial"/>
                <w:b/>
                <w:i w:val="0"/>
                <w:sz w:val="24"/>
              </w:rPr>
              <w:t>MERCY VALE REGIONAL MEDICAL CENTER</w:t>
            </w:r>
          </w:p>
          <w:p>
            <w:r>
              <w:rPr>
                <w:rFonts w:ascii="Arial" w:hAnsi="Arial"/>
                <w:b w:val="0"/>
                <w:i w:val="0"/>
                <w:sz w:val="17"/>
              </w:rPr>
              <w:t>Hospital Medicine  |  5 Harbor Crest Way, Bridgehollow, PA 15211</w:t>
            </w:r>
          </w:p>
          <w:p>
            <w:r>
              <w:rPr>
                <w:rFonts w:ascii="Arial" w:hAnsi="Arial"/>
                <w:b w:val="0"/>
                <w:i/>
                <w:sz w:val="16"/>
              </w:rPr>
              <w:t>Main: (412) 555-0143  |  Medical Records</w:t>
            </w:r>
          </w:p>
        </w:tc>
        <w:tc>
          <w:tcPr>
            <w:tcW w:type="dxa" w:w="5184"/>
            <w:tcBorders>
              <w:top w:val="nil"/>
              <w:left w:val="nil"/>
              <w:bottom w:val="nil"/>
              <w:right w:val="nil"/>
            </w:tcBorders>
          </w:tcPr>
          <w:p>
            <w:pPr>
              <w:jc w:val="right"/>
            </w:pPr>
            <w:r>
              <w:rPr>
                <w:rFonts w:ascii="Arial" w:hAnsi="Arial"/>
                <w:b/>
                <w:i w:val="0"/>
                <w:sz w:val="20"/>
              </w:rPr>
              <w:t>Confidential</w:t>
            </w:r>
          </w:p>
          <w:p>
            <w:pPr>
              <w:jc w:val="right"/>
            </w:pPr>
            <w:r>
              <w:rPr>
                <w:rFonts w:ascii="Arial" w:hAnsi="Arial"/>
                <w:b w:val="0"/>
                <w:i/>
                <w:sz w:val="16"/>
              </w:rPr>
              <w:t>Medical Records</w:t>
            </w:r>
          </w:p>
        </w:tc>
      </w:tr>
    </w:tbl>
    <w:tbl>
      <w:tblPr>
        <w:tblW w:type="auto" w:w="0"/>
        <w:tblLook w:firstColumn="1" w:firstRow="1" w:lastColumn="0" w:lastRow="0" w:noHBand="0" w:noVBand="1" w:val="04A0"/>
      </w:tblPr>
      <w:tblGrid>
        <w:gridCol w:w="10368"/>
      </w:tblGrid>
      <w:tr>
        <w:tc>
          <w:tcPr>
            <w:tcW w:type="dxa" w:w="10368"/>
            <w:shd w:val="clear" w:color="auto" w:fill="4472C4"/>
          </w:tcPr>
          <w:p>
            <w:pPr>
              <w:spacing w:before="0" w:after="0"/>
            </w:pPr>
            <w:r>
              <w:rPr>
                <w:rFonts w:ascii="Arial" w:hAnsi="Arial"/>
                <w:b w:val="0"/>
                <w:i w:val="0"/>
                <w:sz w:val="4"/>
              </w:rPr>
              <w:t xml:space="preserve"> </w:t>
            </w:r>
          </w:p>
        </w:tc>
      </w:tr>
    </w:tbl>
    <w:tbl>
      <w:tblPr>
        <w:tblW w:type="auto" w:w="0"/>
        <w:tblLayout w:type="autofit"/>
        <w:tblLook w:firstColumn="1" w:firstRow="1" w:lastColumn="0" w:lastRow="0" w:noHBand="0" w:noVBand="1" w:val="04A0"/>
      </w:tblPr>
      <w:tblGrid>
        <w:gridCol w:w="2592"/>
        <w:gridCol w:w="2592"/>
        <w:gridCol w:w="2592"/>
        <w:gridCol w:w="2592"/>
      </w:tblGrid>
      <w:tr>
        <w:tc>
          <w:tcPr>
            <w:tcW w:type="dxa" w:w="7776"/>
            <w:gridSpan w:val="3"/>
            <w:shd w:val="clear" w:color="auto" w:fill="4472C4"/>
          </w:tcPr>
          <w:p>
            <w:r>
              <w:rPr>
                <w:rFonts w:ascii="Arial" w:hAnsi="Arial"/>
                <w:b/>
                <w:i w:val="0"/>
                <w:color w:val="FFFFFF"/>
                <w:sz w:val="24"/>
              </w:rPr>
              <w:t xml:space="preserve">  KORVIN MERROW    </w:t>
            </w:r>
            <w:r>
              <w:rPr>
                <w:rFonts w:ascii="Arial" w:hAnsi="Arial"/>
                <w:b w:val="0"/>
                <w:i w:val="0"/>
                <w:color w:val="FFFFFF"/>
                <w:sz w:val="19"/>
              </w:rPr>
              <w:t>62 y  |  Male  |  DOB 02/18/1964</w:t>
            </w:r>
          </w:p>
        </w:tc>
        <w:tc>
          <w:tcPr>
            <w:tcW w:type="dxa" w:w="2592"/>
            <w:shd w:val="clear" w:color="auto" w:fill="4472C4"/>
          </w:tcPr>
          <w:p>
            <w:pPr>
              <w:jc w:val="right"/>
            </w:pPr>
            <w:r>
              <w:rPr>
                <w:rFonts w:ascii="Arial" w:hAnsi="Arial"/>
                <w:b/>
                <w:i w:val="0"/>
                <w:color w:val="FFFFFF"/>
                <w:sz w:val="20"/>
              </w:rPr>
              <w:t xml:space="preserve">MRN KM-6427819  </w:t>
            </w:r>
          </w:p>
        </w:tc>
      </w:tr>
      <w:tr>
        <w:tc>
          <w:tcPr>
            <w:tcW w:type="dxa" w:w="2592"/>
            <w:shd w:val="clear" w:color="auto" w:fill="EDF2FA"/>
          </w:tcPr>
          <w:p>
            <w:r>
              <w:rPr>
                <w:rFonts w:ascii="Arial" w:hAnsi="Arial"/>
                <w:b/>
                <w:i w:val="0"/>
                <w:sz w:val="16"/>
              </w:rPr>
              <w:t>Date / Anchor</w:t>
            </w:r>
          </w:p>
          <w:p>
            <w:r>
              <w:rPr>
                <w:rFonts w:ascii="Arial" w:hAnsi="Arial"/>
                <w:b w:val="0"/>
                <w:i w:val="0"/>
                <w:sz w:val="18"/>
              </w:rPr>
              <w:t>05/21/2026 / HD4</w:t>
            </w:r>
          </w:p>
        </w:tc>
        <w:tc>
          <w:tcPr>
            <w:tcW w:type="dxa" w:w="2592"/>
            <w:shd w:val="clear" w:color="auto" w:fill="EDF2FA"/>
          </w:tcPr>
          <w:p>
            <w:r>
              <w:rPr>
                <w:rFonts w:ascii="Arial" w:hAnsi="Arial"/>
                <w:b/>
                <w:i w:val="0"/>
                <w:sz w:val="16"/>
              </w:rPr>
              <w:t>Service</w:t>
            </w:r>
          </w:p>
          <w:p>
            <w:r>
              <w:rPr>
                <w:rFonts w:ascii="Arial" w:hAnsi="Arial"/>
                <w:b w:val="0"/>
                <w:i w:val="0"/>
                <w:sz w:val="18"/>
              </w:rPr>
              <w:t>Hospital Medicine</w:t>
            </w:r>
          </w:p>
        </w:tc>
        <w:tc>
          <w:tcPr>
            <w:tcW w:type="dxa" w:w="2592"/>
            <w:shd w:val="clear" w:color="auto" w:fill="EDF2FA"/>
          </w:tcPr>
          <w:p>
            <w:r>
              <w:rPr>
                <w:rFonts w:ascii="Arial" w:hAnsi="Arial"/>
                <w:b/>
                <w:i w:val="0"/>
                <w:sz w:val="16"/>
              </w:rPr>
              <w:t>Allergies</w:t>
            </w:r>
          </w:p>
          <w:p>
            <w:r>
              <w:rPr>
                <w:rFonts w:ascii="Arial" w:hAnsi="Arial"/>
                <w:b w:val="0"/>
                <w:i w:val="0"/>
                <w:sz w:val="18"/>
              </w:rPr>
              <w:t>Lisinopril (cough)</w:t>
            </w:r>
          </w:p>
        </w:tc>
        <w:tc>
          <w:tcPr>
            <w:tcW w:type="dxa" w:w="2592"/>
            <w:shd w:val="clear" w:color="auto" w:fill="EDF2FA"/>
          </w:tcPr>
          <w:p>
            <w:r>
              <w:rPr>
                <w:rFonts w:ascii="Arial" w:hAnsi="Arial"/>
                <w:b/>
                <w:i w:val="0"/>
                <w:sz w:val="16"/>
              </w:rPr>
              <w:t>Document</w:t>
            </w:r>
          </w:p>
          <w:p>
            <w:r>
              <w:rPr>
                <w:rFonts w:ascii="Arial" w:hAnsi="Arial"/>
                <w:b w:val="0"/>
                <w:i w:val="0"/>
                <w:sz w:val="18"/>
              </w:rPr>
              <w:t>HD4 hospitalist progress</w:t>
            </w:r>
          </w:p>
        </w:tc>
      </w:tr>
    </w:tbl>
    <w:p/>
    <w:p>
      <w:pPr>
        <w:spacing w:after="40"/>
        <w:jc w:val="left"/>
      </w:pPr>
      <w:r>
        <w:rPr>
          <w:rFonts w:ascii="Arial" w:hAnsi="Arial"/>
          <w:b/>
          <w:i w:val="0"/>
          <w:sz w:val="28"/>
        </w:rPr>
        <w:t>HD4 HOSPITALIST PROGRESS DOCUMENTATION</w:t>
      </w:r>
    </w:p>
    <w:p>
      <w:pPr>
        <w:spacing w:after="160"/>
      </w:pPr>
      <w:r>
        <w:rPr>
          <w:rFonts w:ascii="Arial" w:hAnsi="Arial"/>
          <w:b w:val="0"/>
          <w:i w:val="0"/>
          <w:sz w:val="16"/>
        </w:rPr>
        <w:t>Author: Elian Vossmere, MD — Hospitalist Attending  |  Co-author: Ines Travyn, MD (PGY-2)  |  05/21/2026 / HD4  |  Status: Signed</w:t>
      </w:r>
    </w:p>
    <w:p>
      <w:pPr>
        <w:spacing w:before="200" w:after="80"/>
      </w:pPr>
      <w:r>
        <w:rPr>
          <w:rFonts w:ascii="Arial" w:hAnsi="Arial"/>
          <w:b/>
          <w:i w:val="0"/>
          <w:sz w:val="20"/>
        </w:rPr>
        <w:t>PATIENT / ENCOUNTER</w:t>
      </w:r>
    </w:p>
    <w:p>
      <w:pPr>
        <w:spacing w:after="40"/>
      </w:pPr>
      <w:r>
        <w:rPr>
          <w:rFonts w:ascii="Arial" w:hAnsi="Arial"/>
          <w:b/>
          <w:i w:val="0"/>
          <w:sz w:val="19"/>
        </w:rPr>
        <w:t xml:space="preserve">Patient: </w:t>
      </w:r>
      <w:r>
        <w:rPr>
          <w:rFonts w:ascii="Arial" w:hAnsi="Arial"/>
          <w:b w:val="0"/>
          <w:i w:val="0"/>
          <w:sz w:val="19"/>
        </w:rPr>
        <w:t>Korvin Merrow, 62 y</w:t>
      </w:r>
    </w:p>
    <w:p>
      <w:pPr>
        <w:spacing w:after="40"/>
      </w:pPr>
      <w:r>
        <w:rPr>
          <w:rFonts w:ascii="Arial" w:hAnsi="Arial"/>
          <w:b/>
          <w:i w:val="0"/>
          <w:sz w:val="19"/>
        </w:rPr>
        <w:t xml:space="preserve">Sex / DOB: </w:t>
      </w:r>
      <w:r>
        <w:rPr>
          <w:rFonts w:ascii="Arial" w:hAnsi="Arial"/>
          <w:b w:val="0"/>
          <w:i w:val="0"/>
          <w:sz w:val="19"/>
        </w:rPr>
        <w:t>Male  /  02/18/1964</w:t>
      </w:r>
    </w:p>
    <w:p>
      <w:pPr>
        <w:spacing w:after="40"/>
      </w:pPr>
      <w:r>
        <w:rPr>
          <w:rFonts w:ascii="Arial" w:hAnsi="Arial"/>
          <w:b/>
          <w:i w:val="0"/>
          <w:sz w:val="19"/>
        </w:rPr>
        <w:t xml:space="preserve">MRN / FIN: </w:t>
      </w:r>
      <w:r>
        <w:rPr>
          <w:rFonts w:ascii="Arial" w:hAnsi="Arial"/>
          <w:b w:val="0"/>
          <w:i w:val="0"/>
          <w:sz w:val="19"/>
        </w:rPr>
        <w:t>KM-6427819  /  KM-2026-051877</w:t>
      </w:r>
    </w:p>
    <w:p>
      <w:pPr>
        <w:spacing w:after="40"/>
      </w:pPr>
      <w:r>
        <w:rPr>
          <w:rFonts w:ascii="Arial" w:hAnsi="Arial"/>
          <w:b/>
          <w:i w:val="0"/>
          <w:sz w:val="19"/>
        </w:rPr>
        <w:t xml:space="preserve">Unit / Room: </w:t>
      </w:r>
      <w:r>
        <w:rPr>
          <w:rFonts w:ascii="Arial" w:hAnsi="Arial"/>
          <w:b w:val="0"/>
          <w:i w:val="0"/>
          <w:sz w:val="19"/>
        </w:rPr>
        <w:t>5 West Medical / 5W-318</w:t>
      </w:r>
    </w:p>
    <w:p>
      <w:pPr>
        <w:spacing w:after="40"/>
      </w:pPr>
      <w:r>
        <w:rPr>
          <w:rFonts w:ascii="Arial" w:hAnsi="Arial"/>
          <w:b/>
          <w:i w:val="0"/>
          <w:sz w:val="19"/>
        </w:rPr>
        <w:t xml:space="preserve">Code Status: </w:t>
      </w:r>
      <w:r>
        <w:rPr>
          <w:rFonts w:ascii="Arial" w:hAnsi="Arial"/>
          <w:b w:val="0"/>
          <w:i w:val="0"/>
          <w:sz w:val="19"/>
        </w:rPr>
        <w:t>Full Code</w:t>
      </w:r>
    </w:p>
    <w:p>
      <w:pPr>
        <w:spacing w:after="40"/>
      </w:pPr>
      <w:r>
        <w:rPr>
          <w:rFonts w:ascii="Arial" w:hAnsi="Arial"/>
          <w:b/>
          <w:i w:val="0"/>
          <w:sz w:val="19"/>
        </w:rPr>
        <w:t xml:space="preserve">Allergies: </w:t>
      </w:r>
      <w:r>
        <w:rPr>
          <w:rFonts w:ascii="Arial" w:hAnsi="Arial"/>
          <w:b w:val="0"/>
          <w:i w:val="0"/>
          <w:sz w:val="19"/>
        </w:rPr>
        <w:t>Lisinopril (cough) — ACE-inhibitor intolerance</w:t>
      </w:r>
    </w:p>
    <w:p>
      <w:pPr>
        <w:spacing w:after="40"/>
      </w:pPr>
      <w:r>
        <w:rPr>
          <w:rFonts w:ascii="Arial" w:hAnsi="Arial"/>
          <w:b/>
          <w:i w:val="0"/>
          <w:sz w:val="19"/>
        </w:rPr>
        <w:t xml:space="preserve">Attending: </w:t>
      </w:r>
      <w:r>
        <w:rPr>
          <w:rFonts w:ascii="Arial" w:hAnsi="Arial"/>
          <w:b w:val="0"/>
          <w:i w:val="0"/>
          <w:sz w:val="19"/>
        </w:rPr>
        <w:t>Elian Vossmere, MD (NPI 1528374960)</w:t>
      </w:r>
    </w:p>
    <w:p>
      <w:pPr>
        <w:spacing w:after="40"/>
      </w:pPr>
      <w:r>
        <w:rPr>
          <w:rFonts w:ascii="Arial" w:hAnsi="Arial"/>
          <w:b/>
          <w:i w:val="0"/>
          <w:sz w:val="19"/>
        </w:rPr>
        <w:t xml:space="preserve">Resident: </w:t>
      </w:r>
      <w:r>
        <w:rPr>
          <w:rFonts w:ascii="Arial" w:hAnsi="Arial"/>
          <w:b w:val="0"/>
          <w:i w:val="0"/>
          <w:sz w:val="19"/>
        </w:rPr>
        <w:t>Ines Travyn, MD (PGY-2), Hospital Medicine</w:t>
      </w:r>
    </w:p>
    <w:p>
      <w:pPr>
        <w:spacing w:after="40"/>
      </w:pPr>
      <w:r>
        <w:rPr>
          <w:rFonts w:ascii="Arial" w:hAnsi="Arial"/>
          <w:b/>
          <w:i w:val="0"/>
          <w:sz w:val="19"/>
        </w:rPr>
        <w:t xml:space="preserve">Service: </w:t>
      </w:r>
      <w:r>
        <w:rPr>
          <w:rFonts w:ascii="Arial" w:hAnsi="Arial"/>
          <w:b w:val="0"/>
          <w:i w:val="0"/>
          <w:sz w:val="19"/>
        </w:rPr>
        <w:t>Hospital Medicine</w:t>
      </w:r>
    </w:p>
    <w:p>
      <w:pPr>
        <w:spacing w:after="40"/>
      </w:pPr>
      <w:r>
        <w:rPr>
          <w:rFonts w:ascii="Arial" w:hAnsi="Arial"/>
          <w:b/>
          <w:i w:val="0"/>
          <w:sz w:val="19"/>
        </w:rPr>
        <w:t xml:space="preserve">Hospital Day: </w:t>
      </w:r>
      <w:r>
        <w:rPr>
          <w:rFonts w:ascii="Arial" w:hAnsi="Arial"/>
          <w:b w:val="0"/>
          <w:i w:val="0"/>
          <w:sz w:val="19"/>
        </w:rPr>
        <w:t>HD4</w:t>
      </w:r>
    </w:p>
    <w:p>
      <w:pPr>
        <w:spacing w:after="40"/>
      </w:pPr>
      <w:r>
        <w:rPr>
          <w:rFonts w:ascii="Arial" w:hAnsi="Arial"/>
          <w:b/>
          <w:i w:val="0"/>
          <w:sz w:val="19"/>
        </w:rPr>
        <w:t xml:space="preserve">Date of Service: </w:t>
      </w:r>
      <w:r>
        <w:rPr>
          <w:rFonts w:ascii="Arial" w:hAnsi="Arial"/>
          <w:b w:val="0"/>
          <w:i w:val="0"/>
          <w:sz w:val="19"/>
        </w:rPr>
        <w:t>05/21/2026</w:t>
      </w:r>
    </w:p>
    <w:p>
      <w:pPr>
        <w:spacing w:before="200" w:after="80"/>
      </w:pPr>
      <w:r>
        <w:rPr>
          <w:rFonts w:ascii="Arial" w:hAnsi="Arial"/>
          <w:b/>
          <w:i w:val="0"/>
          <w:sz w:val="20"/>
        </w:rPr>
        <w:t>SUBJECTIVE</w:t>
      </w:r>
    </w:p>
    <w:p>
      <w:pPr>
        <w:spacing w:after="120"/>
      </w:pPr>
      <w:r>
        <w:rPr>
          <w:rFonts w:ascii="Arial" w:hAnsi="Arial"/>
          <w:b w:val="0"/>
          <w:i w:val="0"/>
          <w:sz w:val="19"/>
        </w:rPr>
        <w:t>Mr. Merrow reports feeling "a bit steadier" than yesterday but again describes early fatigue with any clustered activity. He took breakfast more completely than he has on prior mornings and accepted a partial lunch; nursing notes intake as inconsistent across shifts. He continues to deflect detailed questions about his recent prednisone schedule to his wife and is not internally consistent when asked about the days immediately before admission. No new chest pain, dyspnea, dysuria, or focal complaints.</w:t>
      </w:r>
    </w:p>
    <w:p>
      <w:pPr>
        <w:spacing w:after="120"/>
      </w:pPr>
      <w:r>
        <w:rPr>
          <w:rFonts w:ascii="Arial" w:hAnsi="Arial"/>
          <w:b w:val="0"/>
          <w:i w:val="0"/>
          <w:sz w:val="19"/>
        </w:rPr>
        <w:t>Mara was present for morning rounds and for an extended family update later in the day. During that conversation she asked specifically about Korvin’s steroid history and whether his weakness could reflect "more than just the infection." She observed that the bottles at home and Korvin’s own recollection may not fully explain the three weeks of pre-admission decline — that what was on the label and what he was actually taking may have drifted apart. She is not insisting on a single explanation; she is asking the team to keep the question open.</w:t>
      </w:r>
    </w:p>
    <w:p>
      <w:pPr>
        <w:spacing w:before="200" w:after="80"/>
      </w:pPr>
      <w:r>
        <w:rPr>
          <w:rFonts w:ascii="Arial" w:hAnsi="Arial"/>
          <w:b/>
          <w:i w:val="0"/>
          <w:sz w:val="20"/>
        </w:rPr>
        <w:t>OBJECTIVE</w:t>
      </w:r>
    </w:p>
    <w:p>
      <w:pPr>
        <w:spacing w:after="120"/>
      </w:pPr>
      <w:r>
        <w:rPr>
          <w:rFonts w:ascii="Arial" w:hAnsi="Arial"/>
          <w:b w:val="0"/>
          <w:i w:val="0"/>
          <w:sz w:val="19"/>
        </w:rPr>
        <w:t>Afebrile across the past 24 hours. Hemodynamics: systolic 110–128 mmHg, diastolic 62–74 mmHg, heart rate 78–92 bpm, SpO₂ 95–97% on room air. Intake by nursing 50–75% of meals across shifts, inconsistent. Repeat chemistries today: creatinine 1.98 mg/dL (improved from 2.12 yesterday and 2.62 on admission; still above outpatient baseline of 1.6–1.8), BUN 35, potassium 4.6, WBC 10.8 (down from 11.9), glucose range 160–270 across point-of-care checks. Exam: euvolemic-appearing with trace ankle edema unchanged, JVP not elevated, lungs clear, heart sounds regular without new murmur or gallop, mentation slow but oriented, gait not tested in this encounter.</w:t>
      </w:r>
    </w:p>
    <w:p>
      <w:pPr>
        <w:spacing w:before="200" w:after="80"/>
      </w:pPr>
      <w:r>
        <w:rPr>
          <w:rFonts w:ascii="Arial" w:hAnsi="Arial"/>
          <w:b/>
          <w:i w:val="0"/>
          <w:sz w:val="20"/>
        </w:rPr>
        <w:t>OUTPATIENT RHEUMATOLOGY PROVENANCE — NOW REVIEWED</w:t>
      </w:r>
    </w:p>
    <w:p>
      <w:pPr>
        <w:spacing w:after="120"/>
      </w:pPr>
      <w:r>
        <w:rPr>
          <w:rFonts w:ascii="Arial" w:hAnsi="Arial"/>
          <w:b w:val="0"/>
          <w:i w:val="0"/>
          <w:sz w:val="19"/>
        </w:rPr>
        <w:t>Documentation from Dr. Soren Halvek (Riverbend Rheumatology Associates) became available and was reviewed today. The record establishes a several-year PMR course with multiple prior flares and taper attempts, bone-health therapy consistent with cumulative steroid exposure, and a most recent outpatient intent of a cautious slow taper while symptoms remained controlled, with instructions to avoid abrupt discontinuation and to contact rheumatology or primary care if PMR symptoms flared or systemic symptoms emerged. The record does not, and is not intended to, verify what Korvin actually took at home in the weeks before admission. It clarifies intent; it does not resolve adherence.</w:t>
      </w:r>
    </w:p>
    <w:p>
      <w:pPr>
        <w:spacing w:before="200" w:after="80"/>
      </w:pPr>
      <w:r>
        <w:rPr>
          <w:rFonts w:ascii="Arial" w:hAnsi="Arial"/>
          <w:b/>
          <w:i w:val="0"/>
          <w:sz w:val="20"/>
        </w:rPr>
        <w:t>CONSULTANT TENSIONS</w:t>
      </w:r>
    </w:p>
    <w:p>
      <w:pPr>
        <w:spacing w:after="120"/>
      </w:pPr>
      <w:r>
        <w:rPr>
          <w:rFonts w:ascii="Arial" w:hAnsi="Arial"/>
          <w:b w:val="0"/>
          <w:i w:val="0"/>
          <w:sz w:val="19"/>
        </w:rPr>
        <w:t>Today the cross-service positions are explicit on the chart and are being preserved rather than collapsed.</w:t>
      </w:r>
    </w:p>
    <w:p>
      <w:pPr>
        <w:spacing w:after="120"/>
      </w:pPr>
      <w:r>
        <w:rPr>
          <w:rFonts w:ascii="Arial" w:hAnsi="Arial"/>
          <w:b w:val="0"/>
          <w:i w:val="0"/>
          <w:sz w:val="19"/>
        </w:rPr>
        <w:t>Dr. Caldrane (Cardiology) entered an HD4 addendum emphasizing that chronic HFrEF/CAD protective therapy — sacubitril/valsartan, spironolactone, empagliflozin, furosemide, and carvedilol — carries real decompensation and readmission risk if held indefinitely, and that with creatinine moving toward baseline the team should be preparing for sequenced reintroduction.</w:t>
      </w:r>
    </w:p>
    <w:p>
      <w:pPr>
        <w:spacing w:after="120"/>
      </w:pPr>
      <w:r>
        <w:rPr>
          <w:rFonts w:ascii="Arial" w:hAnsi="Arial"/>
          <w:b w:val="0"/>
          <w:i w:val="0"/>
          <w:sz w:val="19"/>
        </w:rPr>
        <w:t>Dr. Solthar (Nephrology) entered an HD4 addendum emphasizing that creatinine 1.98 is still above outpatient anchor, that potassium 4.6 and the systolic range of 110–128 leave limited margin, that intake is still inconsistent, and that AKI-on-CKD recovery is not equivalent to recovered reserve. His position is that premature restart of any of the five HFrEF agents could undo the renal trajectory and reintroduce hypotensive or hyperkalemic risk.</w:t>
      </w:r>
    </w:p>
    <w:p>
      <w:pPr>
        <w:spacing w:after="120"/>
      </w:pPr>
      <w:r>
        <w:t>Cardiology (HD4 addendum) and Nephrology (HD4 addendum) have filed distinct dated positions on restart readiness; both are acknowledged in full and will govern the timing of any medication action. No HFrEF agent is being restarted today.</w:t>
      </w:r>
    </w:p>
    <w:p>
      <w:pPr>
        <w:spacing w:after="120"/>
      </w:pPr>
      <w:r>
        <w:t>A second tension is documented between Endocrinology and the primary team. Dr. Veylorn (Endocrinology) was consulted today given chronic steroid exposure, the taper uncertainty now anchored against the Halvek record, and Korvin’s persistent weakness and borderline pressures. Her initial input frames steroid physiology as a real interpretive consideration that should drive monitoring and patient/family teaching. The primary team’s position is that infection-oriented treatment and supportive care have produced measurable improvement, and that adrenal suppression should not be assumed as the sole explanation for the remaining weakness and hemodynamic fragility. Adrenal insufficiency is not being asserted on this chart. The two views are being held simultaneously, not reconciled prematurely.</w:t>
      </w:r>
    </w:p>
    <w:p>
      <w:pPr>
        <w:spacing w:before="200" w:after="80"/>
      </w:pPr>
      <w:r>
        <w:rPr>
          <w:rFonts w:ascii="Arial" w:hAnsi="Arial"/>
          <w:b/>
          <w:i w:val="0"/>
          <w:sz w:val="20"/>
        </w:rPr>
        <w:t>ASSESSMENT &amp; PLAN</w:t>
      </w:r>
    </w:p>
    <w:p>
      <w:pPr>
        <w:spacing w:before="80" w:after="120"/>
      </w:pPr>
      <w:r>
        <w:rPr>
          <w:rFonts w:ascii="Arial" w:hAnsi="Arial"/>
          <w:b/>
          <w:i w:val="0"/>
          <w:sz w:val="19"/>
        </w:rPr>
        <w:t xml:space="preserve">1. Suspected urinary-source infection — continued response. </w:t>
      </w:r>
      <w:r>
        <w:rPr>
          <w:rFonts w:ascii="Arial" w:hAnsi="Arial"/>
          <w:b w:val="0"/>
          <w:i w:val="0"/>
          <w:sz w:val="19"/>
        </w:rPr>
        <w:t>WBC 10.8 and afebrile course support continued response to empiric therapy. Cultures and sensitivities continue to be reviewed; oral step-down will be considered when speciation supports it. The early infection frame remains reasonable but is explicitly not being treated as a sufficient narrative for the entire course.</w:t>
      </w:r>
    </w:p>
    <w:p>
      <w:pPr>
        <w:spacing w:before="80" w:after="120"/>
      </w:pPr>
      <w:r>
        <w:rPr>
          <w:rFonts w:ascii="Arial" w:hAnsi="Arial"/>
          <w:b/>
          <w:i w:val="0"/>
          <w:sz w:val="19"/>
        </w:rPr>
        <w:t xml:space="preserve">2. AKI on CKD — improving, not yet at baseline. </w:t>
      </w:r>
      <w:r>
        <w:rPr>
          <w:rFonts w:ascii="Arial" w:hAnsi="Arial"/>
          <w:b w:val="0"/>
          <w:i w:val="0"/>
          <w:sz w:val="19"/>
        </w:rPr>
        <w:t>Creatinine 2.62 → 2.38 → 2.12 → 1.98; BUN 35; potassium 4.6. Trajectory favorable; reserve not yet demonstrated. Continue cautious fluids, daily metabolic panel, strict I/O, daily weights.</w:t>
      </w:r>
    </w:p>
    <w:p>
      <w:pPr>
        <w:spacing w:before="80" w:after="120"/>
      </w:pPr>
      <w:r>
        <w:rPr>
          <w:rFonts w:ascii="Arial" w:hAnsi="Arial"/>
          <w:b/>
          <w:i w:val="0"/>
          <w:sz w:val="19"/>
        </w:rPr>
        <w:t xml:space="preserve">3. HFrEF / CAD protective regimen — restart remains conditional and sequenced. </w:t>
      </w:r>
      <w:r>
        <w:rPr>
          <w:rFonts w:ascii="Arial" w:hAnsi="Arial"/>
          <w:b w:val="0"/>
          <w:i w:val="0"/>
          <w:sz w:val="19"/>
        </w:rPr>
        <w:t>Sacubitril/valsartan, spironolactone, furosemide, and empagliflozin remain held. Carvedilol continues as cautious shift-level administration with hold parameters. No restart today. Restart sequencing will be parameter-driven (creatinine/eGFR, potassium, BP margin, intake/weight) and individually staged, not collapsed into a single decision point. Caldrane and Solthar addenda are both acknowledged in full.</w:t>
      </w:r>
    </w:p>
    <w:p>
      <w:pPr>
        <w:spacing w:before="80" w:after="120"/>
      </w:pPr>
      <w:r>
        <w:t>4. Diabetes management. Insulin glargine continued with inpatient adjustment. Inpatient correctional lispro continues per protocol. Metformin ER remains held during AKI recovery.</w:t>
      </w:r>
    </w:p>
    <w:p>
      <w:pPr>
        <w:spacing w:before="80" w:after="120"/>
      </w:pPr>
      <w:r>
        <w:rPr>
          <w:rFonts w:ascii="Arial" w:hAnsi="Arial"/>
          <w:b/>
          <w:i w:val="0"/>
          <w:sz w:val="19"/>
        </w:rPr>
        <w:t xml:space="preserve">5. Polymyalgia rheumatica / prednisone provenance. </w:t>
      </w:r>
      <w:r>
        <w:rPr>
          <w:rFonts w:ascii="Arial" w:hAnsi="Arial"/>
          <w:b w:val="0"/>
          <w:i w:val="0"/>
          <w:sz w:val="19"/>
        </w:rPr>
        <w:t>Halvek record now available; cautious-taper intent with monitoring guidance is documented in the outpatient source. No numeric outpatient daily dose is being asserted from inpatient sources; the source-hierarchy reconstruction continues. Interim inpatient steroid handling continues. Endocrinology (Dr. Veylorn) now engaged; her input will be integrated as the steroid course is reconciled.</w:t>
      </w:r>
    </w:p>
    <w:p>
      <w:pPr>
        <w:spacing w:before="80" w:after="120"/>
      </w:pPr>
      <w:r>
        <w:rPr>
          <w:rFonts w:ascii="Arial" w:hAnsi="Arial"/>
          <w:b/>
          <w:i w:val="0"/>
          <w:sz w:val="19"/>
        </w:rPr>
        <w:t xml:space="preserve">6. Functional and cognitive recovery. </w:t>
      </w:r>
      <w:r>
        <w:rPr>
          <w:rFonts w:ascii="Arial" w:hAnsi="Arial"/>
          <w:b w:val="0"/>
          <w:i w:val="0"/>
          <w:sz w:val="19"/>
        </w:rPr>
        <w:t>PT and OT continue. Findings from HD3 remain the operative baseline for readiness; no formal reassessment today. Mara’s HD4 observation about pre-admission decline is documented and treated as baseline-informed collateral.</w:t>
      </w:r>
    </w:p>
    <w:p>
      <w:pPr>
        <w:spacing w:before="80" w:after="120"/>
      </w:pPr>
      <w:r>
        <w:rPr>
          <w:rFonts w:ascii="Arial" w:hAnsi="Arial"/>
          <w:b/>
          <w:i w:val="0"/>
          <w:sz w:val="19"/>
        </w:rPr>
        <w:t xml:space="preserve">7. Family communication. </w:t>
      </w:r>
      <w:r>
        <w:rPr>
          <w:rFonts w:ascii="Arial" w:hAnsi="Arial"/>
          <w:b w:val="0"/>
          <w:i w:val="0"/>
          <w:sz w:val="19"/>
        </w:rPr>
        <w:t>Family update completed today; Mara’s steroid-history question, her observation that bottles and recollection may not fully explain the decline, and her request that the team keep that question open are recorded.</w:t>
      </w:r>
    </w:p>
    <w:p>
      <w:pPr>
        <w:spacing w:before="200" w:after="80"/>
      </w:pPr>
      <w:r>
        <w:rPr>
          <w:rFonts w:ascii="Arial" w:hAnsi="Arial"/>
          <w:b/>
          <w:i w:val="0"/>
          <w:sz w:val="20"/>
        </w:rPr>
        <w:t>OPEN QUESTIONS CARRIED FORWARD</w:t>
      </w:r>
    </w:p>
    <w:p>
      <w:pPr>
        <w:pStyle w:val="ListBullet"/>
        <w:spacing w:after="60"/>
      </w:pPr>
      <w:r>
        <w:t>Cardiorenal restart sequencing is now the central medication decision; the Cardiology and Nephrology positions are preserved as distinct and dated rather than collapsed.</w:t>
      </w:r>
    </w:p>
    <w:p>
      <w:pPr>
        <w:pStyle w:val="ListBullet"/>
        <w:spacing w:after="60"/>
      </w:pPr>
      <w:r>
        <w:rPr>
          <w:rFonts w:ascii="Arial" w:hAnsi="Arial"/>
          <w:b w:val="0"/>
          <w:i w:val="0"/>
          <w:sz w:val="19"/>
        </w:rPr>
        <w:t>Steroid-exposure interpretation is open: Halvek provides intent, but home adherence is not established, and Endocrinology input is just beginning.</w:t>
      </w:r>
    </w:p>
    <w:p>
      <w:pPr>
        <w:pStyle w:val="ListBullet"/>
        <w:spacing w:after="60"/>
      </w:pPr>
      <w:r>
        <w:rPr>
          <w:rFonts w:ascii="Arial" w:hAnsi="Arial"/>
          <w:b w:val="0"/>
          <w:i w:val="0"/>
          <w:sz w:val="19"/>
        </w:rPr>
        <w:t>Functional and cognitive trajectory remains a separate readiness axis from medical trajectory; no reassessment was completed today.</w:t>
      </w:r>
    </w:p>
    <w:p>
      <w:pPr>
        <w:spacing w:before="200" w:after="80"/>
      </w:pPr>
      <w:r>
        <w:rPr>
          <w:rFonts w:ascii="Arial" w:hAnsi="Arial"/>
          <w:b/>
          <w:i w:val="0"/>
          <w:sz w:val="20"/>
        </w:rPr>
        <w:t>DISPOSITION</w:t>
      </w:r>
    </w:p>
    <w:p>
      <w:pPr>
        <w:spacing w:after="120"/>
      </w:pPr>
      <w:r>
        <w:t>Continue inpatient management. Medical trajectory continues to improve, but the case is broader than infection alone — renal recovery is incomplete, the cardiorenal regimen remains in deferred and parameter-gated restart, prednisone provenance is partially clarified but not fully reconciled, and functional/cognitive gaps from HD3 have not been retested. Reassess with consultant input and repeat therapy review over the next 24–48 hours.</w:t>
      </w:r>
    </w:p>
    <w:p/>
    <w:p>
      <w:pPr>
        <w:spacing w:after="40"/>
      </w:pPr>
      <w:r>
        <w:rPr>
          <w:rFonts w:ascii="Arial" w:hAnsi="Arial"/>
          <w:b w:val="0"/>
          <w:i/>
          <w:sz w:val="18"/>
        </w:rPr>
        <w:t>Electronically signed by Elian Vossmere, MD — Hospitalist Attending, Hospital Medicine</w:t>
      </w:r>
    </w:p>
    <w:p>
      <w:pPr>
        <w:spacing w:after="0"/>
      </w:pPr>
      <w:r>
        <w:rPr>
          <w:rFonts w:ascii="Arial" w:hAnsi="Arial"/>
          <w:b w:val="0"/>
          <w:i/>
          <w:sz w:val="18"/>
        </w:rPr>
        <w:t>Co-signed by Ines Travyn, MD (PGY-2), Hospital Medicine</w:t>
      </w:r>
    </w:p>
    <w:p/>
    <w:sectPr w:rsidR="00FC693F" w:rsidRPr="0006063C" w:rsidSect="00034616">
      <w:headerReference w:type="default" r:id="rId9"/>
      <w:footerReference w:type="default" r:id="rId10"/>
      <w:headerReference w:type="even" r:id="rId11"/>
      <w:footerReference w:type="even" r:id="rId12"/>
      <w:headerReference w:type="first" r:id="rId13"/>
      <w:footerReference w:type="first" r:id="rId14"/>
      <w:pgSz w:w="12240" w:h="15840"/>
      <w:pgMar w:top="720"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808080"/>
        <w:sz w:val="15"/>
      </w:rPr>
      <w:t>Korvin Merrow  |  MRN KM-6427819  |  DOB 02/18/1964</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cp:category/>
</cp:coreProperties>
</file>