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tbl>
      <w:tblPr>
        <w:tblW w:type="auto" w:w="0"/>
        <w:tblLayout w:type="fixed"/>
        <w:tblLook w:firstColumn="1" w:firstRow="1" w:lastColumn="0" w:lastRow="0" w:noHBand="0" w:noVBand="1" w:val="04A0"/>
      </w:tblPr>
      <w:tblGrid>
        <w:gridCol w:w="6912"/>
        <w:gridCol w:w="2880"/>
      </w:tblGrid>
      <w:tr>
        <w:tc>
          <w:tcPr>
            <w:tcW w:type="dxa" w:w="6912"/>
            <w:tcBorders>
              <w:top w:val="nil"/>
              <w:left w:val="nil"/>
              <w:bottom w:val="nil"/>
              <w:right w:val="nil"/>
            </w:tcBorders>
          </w:tcPr>
          <w:p>
            <w:r>
              <w:rPr>
                <w:rFonts w:ascii="Arial" w:hAnsi="Arial"/>
                <w:b/>
                <w:i w:val="0"/>
                <w:color w:val="1F3864"/>
                <w:sz w:val="22"/>
              </w:rPr>
              <w:t>MERCY VALE REGIONAL MEDICAL CENTER</w:t>
            </w:r>
          </w:p>
          <w:p>
            <w:r>
              <w:rPr>
                <w:rFonts w:ascii="Arial" w:hAnsi="Arial"/>
                <w:b w:val="0"/>
                <w:i w:val="0"/>
                <w:color w:val="5E6670"/>
                <w:sz w:val="16"/>
              </w:rPr>
              <w:t>Cardiology Records  ·  Legacy Archive Extract</w:t>
            </w:r>
          </w:p>
        </w:tc>
        <w:tc>
          <w:tcPr>
            <w:tcW w:type="dxa" w:w="2880"/>
            <w:tcBorders>
              <w:top w:val="nil"/>
              <w:left w:val="nil"/>
              <w:bottom w:val="nil"/>
              <w:right w:val="nil"/>
            </w:tcBorders>
          </w:tcPr>
          <w:p>
            <w:pPr>
              <w:jc w:val="right"/>
            </w:pPr>
            <w:r>
              <w:rPr>
                <w:rFonts w:ascii="Arial" w:hAnsi="Arial"/>
                <w:b/>
                <w:i w:val="0"/>
                <w:color w:val="4472C4"/>
                <w:sz w:val="17"/>
              </w:rPr>
              <w:t>Confidential</w:t>
            </w:r>
          </w:p>
        </w:tc>
      </w:tr>
      <w:tr>
        <w:tc>
          <w:tcPr>
            <w:tcW w:type="dxa" w:w="5100"/>
            <w:tcBorders>
              <w:top w:val="nil"/>
              <w:left w:val="nil"/>
              <w:bottom w:val="nil"/>
              <w:right w:val="nil"/>
            </w:tcBorders>
          </w:tcPr>
          <w:p>
            <w:r>
              <w:rPr>
                <w:rFonts w:ascii="Arial" w:hAnsi="Arial"/>
                <w:b w:val="0"/>
                <w:i w:val="0"/>
                <w:color w:val="5E6670"/>
                <w:sz w:val="16"/>
              </w:rPr>
              <w:t>5 Harbor Crest Way, Bridgehollow, PA 15211  ·  (412) 555-0143</w:t>
            </w:r>
          </w:p>
        </w:tc>
        <w:tc>
          <w:tcPr>
            <w:tcW w:type="dxa" w:w="5100"/>
            <w:tcBorders>
              <w:top w:val="nil"/>
              <w:left w:val="nil"/>
              <w:bottom w:val="nil"/>
              <w:right w:val="nil"/>
            </w:tcBorders>
          </w:tcPr>
          <w:p>
            <w:pPr>
              <w:jc w:val="right"/>
            </w:pPr>
            <w:r>
              <w:rPr>
                <w:rFonts w:ascii="Arial" w:hAnsi="Arial"/>
                <w:b w:val="0"/>
                <w:i/>
                <w:color w:val="5E6670"/>
                <w:sz w:val="15"/>
              </w:rPr>
              <w:t>Signed background summary</w:t>
            </w:r>
          </w:p>
        </w:tc>
      </w:tr>
    </w:tbl>
    <w:p/>
    <w:tbl>
      <w:tblPr>
        <w:tblW w:type="auto" w:w="0"/>
        <w:tblLayout w:type="fixed"/>
        <w:tblLook w:firstColumn="1" w:firstRow="1" w:lastColumn="0" w:lastRow="0" w:noHBand="0" w:noVBand="1" w:val="04A0"/>
      </w:tblPr>
      <w:tblGrid>
        <w:gridCol w:w="3312"/>
        <w:gridCol w:w="3312"/>
        <w:gridCol w:w="1584"/>
        <w:gridCol w:w="1584"/>
      </w:tblGrid>
      <w:tr>
        <w:tc>
          <w:tcPr>
            <w:tcW w:type="dxa" w:w="8208"/>
            <w:gridSpan w:val="3"/>
            <w:shd w:val="clear" w:color="auto" w:fill="4472C4"/>
            <w:tcBorders>
              <w:top w:val="nil"/>
              <w:left w:val="nil"/>
              <w:bottom w:val="nil"/>
              <w:right w:val="nil"/>
            </w:tcBorders>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1584"/>
            <w:shd w:val="clear" w:color="auto" w:fill="4472C4"/>
            <w:tcBorders>
              <w:top w:val="nil"/>
              <w:left w:val="nil"/>
              <w:bottom w:val="nil"/>
              <w:right w:val="nil"/>
            </w:tcBorders>
          </w:tcPr>
          <w:p>
            <w:pPr>
              <w:jc w:val="right"/>
            </w:pPr>
            <w:r>
              <w:rPr>
                <w:rFonts w:ascii="Arial" w:hAnsi="Arial"/>
                <w:b/>
                <w:i w:val="0"/>
                <w:color w:val="FFFFFF"/>
                <w:sz w:val="20"/>
              </w:rPr>
              <w:t xml:space="preserve">MRN KM-6427819  </w:t>
            </w:r>
          </w:p>
        </w:tc>
      </w:tr>
      <w:tr>
        <w:tc>
          <w:tcPr>
            <w:tcW w:type="dxa" w:w="3312"/>
            <w:shd w:val="clear" w:color="auto" w:fill="EDF2FA"/>
            <w:tcBorders>
              <w:top w:val="nil"/>
              <w:left w:val="nil"/>
              <w:bottom w:val="nil"/>
              <w:right w:val="nil"/>
            </w:tcBorders>
          </w:tcPr>
          <w:p>
            <w:r>
              <w:rPr>
                <w:rFonts w:ascii="Arial" w:hAnsi="Arial"/>
                <w:b/>
                <w:i w:val="0"/>
                <w:color w:val="5E6670"/>
                <w:sz w:val="14"/>
              </w:rPr>
              <w:t>Date / Anchor</w:t>
            </w:r>
          </w:p>
          <w:p>
            <w:r>
              <w:rPr>
                <w:rFonts w:ascii="Arial" w:hAnsi="Arial"/>
                <w:b w:val="0"/>
                <w:i w:val="0"/>
                <w:color w:val="232830"/>
                <w:sz w:val="16"/>
              </w:rPr>
              <w:t>Pre-admission provenance</w:t>
              <w:br/>
              <w:t>(available 2026-05-18)</w:t>
            </w:r>
          </w:p>
        </w:tc>
        <w:tc>
          <w:tcPr>
            <w:tcW w:type="dxa" w:w="3312"/>
            <w:shd w:val="clear" w:color="auto" w:fill="EDF2FA"/>
            <w:tcBorders>
              <w:top w:val="nil"/>
              <w:left w:val="nil"/>
              <w:bottom w:val="nil"/>
              <w:right w:val="nil"/>
            </w:tcBorders>
          </w:tcPr>
          <w:p>
            <w:r>
              <w:rPr>
                <w:rFonts w:ascii="Arial" w:hAnsi="Arial"/>
                <w:b/>
                <w:i w:val="0"/>
                <w:color w:val="5E6670"/>
                <w:sz w:val="14"/>
              </w:rPr>
              <w:t>Source</w:t>
            </w:r>
          </w:p>
          <w:p>
            <w:r>
              <w:rPr>
                <w:rFonts w:ascii="Arial" w:hAnsi="Arial"/>
                <w:b w:val="0"/>
                <w:i w:val="0"/>
                <w:color w:val="232830"/>
                <w:sz w:val="16"/>
              </w:rPr>
              <w:t>Cardiology records archive</w:t>
              <w:br/>
              <w:t>(pre-Caldrane legacy chart)</w:t>
            </w:r>
          </w:p>
        </w:tc>
        <w:tc>
          <w:tcPr>
            <w:tcW w:type="dxa" w:w="1584"/>
            <w:shd w:val="clear" w:color="auto" w:fill="EDF2FA"/>
            <w:tcBorders>
              <w:top w:val="nil"/>
              <w:left w:val="nil"/>
              <w:bottom w:val="nil"/>
              <w:right w:val="nil"/>
            </w:tcBorders>
          </w:tcPr>
          <w:p>
            <w:r>
              <w:rPr>
                <w:rFonts w:ascii="Arial" w:hAnsi="Arial"/>
                <w:b/>
                <w:i w:val="0"/>
                <w:color w:val="5E6670"/>
                <w:sz w:val="14"/>
              </w:rPr>
              <w:t>Allergies</w:t>
            </w:r>
          </w:p>
          <w:p>
            <w:r>
              <w:rPr>
                <w:rFonts w:ascii="Arial" w:hAnsi="Arial"/>
                <w:b w:val="0"/>
                <w:i w:val="0"/>
                <w:color w:val="232830"/>
                <w:sz w:val="16"/>
              </w:rPr>
              <w:t>Lisinopril (cough)</w:t>
            </w:r>
          </w:p>
        </w:tc>
        <w:tc>
          <w:tcPr>
            <w:tcW w:type="dxa" w:w="1584"/>
            <w:shd w:val="clear" w:color="auto" w:fill="EDF2FA"/>
            <w:tcBorders>
              <w:top w:val="nil"/>
              <w:left w:val="nil"/>
              <w:bottom w:val="nil"/>
              <w:right w:val="nil"/>
            </w:tcBorders>
          </w:tcPr>
          <w:p>
            <w:r>
              <w:rPr>
                <w:rFonts w:ascii="Arial" w:hAnsi="Arial"/>
                <w:b/>
                <w:i w:val="0"/>
                <w:color w:val="5E6670"/>
                <w:sz w:val="14"/>
              </w:rPr>
              <w:t>Document</w:t>
            </w:r>
          </w:p>
          <w:p>
            <w:r>
              <w:rPr>
                <w:rFonts w:ascii="Arial" w:hAnsi="Arial"/>
                <w:b w:val="0"/>
                <w:i w:val="0"/>
                <w:color w:val="232830"/>
                <w:sz w:val="16"/>
              </w:rPr>
              <w:t>Remote PCI / coronary stent</w:t>
              <w:br/>
              <w:t>provenance summary</w:t>
            </w:r>
          </w:p>
        </w:tc>
      </w:tr>
    </w:tbl>
    <w:p/>
    <w:p>
      <w:r>
        <w:rPr>
          <w:rFonts w:ascii="Arial" w:hAnsi="Arial"/>
          <w:b/>
          <w:i w:val="0"/>
          <w:sz w:val="28"/>
        </w:rPr>
        <w:t>REMOTE PCI / CORONARY STENT PROVENANCE SUMMARY</w:t>
      </w:r>
    </w:p>
    <w:p>
      <w:r>
        <w:rPr>
          <w:rFonts w:ascii="Arial" w:hAnsi="Arial"/>
          <w:b w:val="0"/>
          <w:i w:val="0"/>
          <w:color w:val="5E6670"/>
          <w:sz w:val="16"/>
        </w:rPr>
        <w:t>Author: Cardiology Records archive  |  Department: Cardiology  |  Pre-admission provenance (available 2026-05-18)  |  Status: Signed — supplementary</w:t>
      </w:r>
    </w:p>
    <w:p>
      <w:r>
        <w:rPr>
          <w:rFonts w:ascii="Arial" w:hAnsi="Arial"/>
          <w:b/>
          <w:i w:val="0"/>
          <w:color w:val="1F3864"/>
          <w:sz w:val="20"/>
        </w:rPr>
        <w:t>PROCEDURAL BACKGROUND</w:t>
      </w:r>
    </w:p>
    <w:p>
      <w:r>
        <w:rPr>
          <w:rFonts w:ascii="Arial" w:hAnsi="Arial"/>
          <w:b w:val="0"/>
          <w:i w:val="0"/>
          <w:sz w:val="19"/>
        </w:rPr>
        <w:t xml:space="preserve">Korvin Merrow has a documented history of percutaneous coronary intervention with drug-eluting coronary stent placement performed on </w:t>
      </w:r>
      <w:r>
        <w:rPr>
          <w:rFonts w:ascii="Arial" w:hAnsi="Arial"/>
          <w:b/>
          <w:i w:val="0"/>
          <w:sz w:val="19"/>
        </w:rPr>
        <w:t>2018-09-12</w:t>
      </w:r>
      <w:r>
        <w:rPr>
          <w:rFonts w:ascii="Arial" w:hAnsi="Arial"/>
          <w:b w:val="0"/>
          <w:i w:val="0"/>
          <w:sz w:val="19"/>
        </w:rPr>
        <w:t xml:space="preserve"> at Mercy Vale Regional Medical Center. The legacy catheterization record describes single-vessel intervention to the </w:t>
      </w:r>
      <w:r>
        <w:rPr>
          <w:rFonts w:ascii="Arial" w:hAnsi="Arial"/>
          <w:b/>
          <w:i w:val="0"/>
          <w:sz w:val="19"/>
        </w:rPr>
        <w:t>mid-LAD</w:t>
      </w:r>
      <w:r>
        <w:rPr>
          <w:rFonts w:ascii="Arial" w:hAnsi="Arial"/>
          <w:b w:val="0"/>
          <w:i w:val="0"/>
          <w:sz w:val="19"/>
        </w:rPr>
        <w:t xml:space="preserve"> for symptomatic obstructive coronary artery disease identified on diagnostic angiography during the same encounter. A single drug-eluting stent was deployed; the case was operated by the cardiology team in service at the time (pre-Caldrane era), and the original operator and cath lab records remain in the legacy archive rather than the current Cardiology consult chart.</w:t>
      </w:r>
    </w:p>
    <w:p>
      <w:r>
        <w:rPr>
          <w:rFonts w:ascii="Arial" w:hAnsi="Arial"/>
          <w:b w:val="0"/>
          <w:i w:val="0"/>
          <w:sz w:val="19"/>
        </w:rPr>
        <w:t>The post-procedure course was uncomplicated, with successful angiographic result, no peri-procedural myocardial injury documented, and no vascular access complications. He was discharged on standard post-PCI prevention at that time.</w:t>
      </w:r>
    </w:p>
    <w:p>
      <w:r>
        <w:rPr>
          <w:rFonts w:ascii="Arial" w:hAnsi="Arial"/>
          <w:b/>
          <w:i w:val="0"/>
          <w:color w:val="1F3864"/>
          <w:sz w:val="20"/>
        </w:rPr>
        <w:t>SUBSEQUENT CORONARY COURSE</w:t>
      </w:r>
    </w:p>
    <w:p>
      <w:r>
        <w:rPr>
          <w:rFonts w:ascii="Arial" w:hAnsi="Arial"/>
          <w:b w:val="0"/>
          <w:i w:val="0"/>
          <w:sz w:val="19"/>
        </w:rPr>
        <w:t>The chart does not document any in-stent restenosis events, no recurrent acute coronary syndrome since 2018, and no subsequent cardiac catheterization. Outpatient follow-up has continued under chronic CAD secondary prevention without further intervention. Stress testing has not been repeated within the available pre-admission record window.</w:t>
      </w:r>
    </w:p>
    <w:p>
      <w:r>
        <w:rPr>
          <w:rFonts w:ascii="Arial" w:hAnsi="Arial"/>
          <w:b/>
          <w:i w:val="0"/>
          <w:color w:val="1F3864"/>
          <w:sz w:val="20"/>
        </w:rPr>
        <w:t>LONG-TERM SECONDARY PREVENTION STATUS</w:t>
      </w:r>
    </w:p>
    <w:p>
      <w:r>
        <w:rPr>
          <w:rFonts w:ascii="Arial" w:hAnsi="Arial"/>
          <w:b w:val="0"/>
          <w:i w:val="0"/>
          <w:sz w:val="19"/>
        </w:rPr>
        <w:t xml:space="preserve">Original dual antiplatelet therapy following the 2018 PCI was completed long ago per the legacy outpatient chart. Ongoing single-agent antiplatelet secondary prevention with </w:t>
      </w:r>
      <w:r>
        <w:rPr>
          <w:rFonts w:ascii="Arial" w:hAnsi="Arial"/>
          <w:b/>
          <w:i w:val="0"/>
          <w:sz w:val="19"/>
        </w:rPr>
        <w:t>aspirin</w:t>
      </w:r>
      <w:r>
        <w:rPr>
          <w:rFonts w:ascii="Arial" w:hAnsi="Arial"/>
          <w:b w:val="0"/>
          <w:i w:val="0"/>
          <w:sz w:val="19"/>
        </w:rPr>
        <w:t xml:space="preserve"> 81 mg daily has been the documented chronic regimen since that course concluded, along with high-intensity statin therapy (atorvastatin 40 mg nightly) and HFrEF guideline-directed medical therapy as listed elsewhere in the chronic medication list. No documented in-stent restenosis events appear in the cardiology archive review.</w:t>
      </w:r>
    </w:p>
    <w:p>
      <w:r>
        <w:rPr>
          <w:rFonts w:ascii="Arial" w:hAnsi="Arial"/>
          <w:b/>
          <w:i w:val="0"/>
          <w:color w:val="1F3864"/>
          <w:sz w:val="20"/>
        </w:rPr>
        <w:t>RELATIONSHIP TO CURRENT HOSPITALIZATION</w:t>
      </w:r>
    </w:p>
    <w:p>
      <w:r>
        <w:t>This supplementary background helps explain why chronic CAD secondary prevention and HFrEF-protective therapy figure throughout the chart. It is not an active inpatient cardiology note, not a procedure note for this admission, and not a medication source ranked above the verified medication reconciliation, pharmacy refill history, or the inpatient cardiology consultation. The remote PCI history alone does not decide acute medication restart timing during the current hospitalization, does not substitute for the inpatient medication-management and restart-sequencing assessment, and does not establish any new ischemic event during this admission.</w:t>
      </w:r>
    </w:p>
    <w:p/>
    <w:p>
      <w:r>
        <w:rPr>
          <w:rFonts w:ascii="Arial" w:hAnsi="Arial"/>
          <w:b w:val="0"/>
          <w:i/>
          <w:color w:val="5E6670"/>
          <w:sz w:val="18"/>
        </w:rPr>
        <w:t>Electronically signed — Cardiology Records archive extract  |  Mercy Vale Regional Medical Center</w:t>
      </w:r>
    </w:p>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