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p>
    <w:tbl>
      <w:tblPr>
        <w:tblW w:type="auto" w:w="0"/>
        <w:tblLayout w:type="fixed"/>
        <w:tblLook w:firstColumn="1" w:firstRow="1" w:lastColumn="0" w:lastRow="0" w:noHBand="0" w:noVBand="1" w:val="04A0"/>
      </w:tblPr>
      <w:tblGrid>
        <w:gridCol w:w="7632"/>
        <w:gridCol w:w="2592"/>
      </w:tblGrid>
      <w:tr>
        <w:tc>
          <w:tcPr>
            <w:tcW w:type="dxa" w:w="7632"/>
            <w:tcBorders>
              <w:top w:val="nil"/>
              <w:left w:val="nil"/>
              <w:bottom w:val="nil"/>
              <w:right w:val="nil"/>
              <w:insideH w:val="nil"/>
              <w:insideV w:val="nil"/>
            </w:tcBorders>
            <w:tcMar>
              <w:top w:w="0" w:type="dxa"/>
              <w:left w:w="0" w:type="dxa"/>
              <w:bottom w:w="20" w:type="dxa"/>
              <w:right w:w="0" w:type="dxa"/>
            </w:tcMar>
          </w:tcPr>
          <w:p>
            <w:r>
              <w:rPr>
                <w:rFonts w:ascii="Arial" w:hAnsi="Arial"/>
                <w:b/>
                <w:sz w:val="26"/>
              </w:rPr>
              <w:t>MERCY VALE REGIONAL MEDICAL CENTER</w:t>
            </w:r>
            <w:r>
              <w:rPr>
                <w:rFonts w:ascii="Arial" w:hAnsi="Arial"/>
                <w:sz w:val="26"/>
              </w:rPr>
              <w:t xml:space="preserve">   </w:t>
            </w:r>
            <w:r>
              <w:rPr>
                <w:rFonts w:ascii="Arial" w:hAnsi="Arial"/>
                <w:color w:val="5E6670"/>
                <w:sz w:val="20"/>
              </w:rPr>
              <w:t>— Pharmacy / Medication Reconciliation</w:t>
            </w:r>
          </w:p>
        </w:tc>
        <w:tc>
          <w:tcPr>
            <w:tcW w:type="dxa" w:w="2592"/>
            <w:tcBorders>
              <w:top w:val="nil"/>
              <w:left w:val="nil"/>
              <w:bottom w:val="nil"/>
              <w:right w:val="nil"/>
              <w:insideH w:val="nil"/>
              <w:insideV w:val="nil"/>
            </w:tcBorders>
            <w:tcMar>
              <w:top w:w="0" w:type="dxa"/>
              <w:left w:w="0" w:type="dxa"/>
              <w:bottom w:w="20" w:type="dxa"/>
              <w:right w:w="0" w:type="dxa"/>
            </w:tcMar>
          </w:tcPr>
          <w:p>
            <w:pPr>
              <w:jc w:val="right"/>
            </w:pPr>
            <w:r/>
            <w:r>
              <w:rPr>
                <w:rFonts w:ascii="Arial" w:hAnsi="Arial"/>
                <w:b/>
                <w:i w:val="0"/>
                <w:color w:val="5E6670"/>
                <w:sz w:val="18"/>
              </w:rPr>
              <w:t>Confidential</w:t>
            </w:r>
          </w:p>
        </w:tc>
      </w:tr>
      <w:tr>
        <w:tc>
          <w:tcPr>
            <w:tcW w:type="dxa" w:w="5112"/>
            <w:tcBorders>
              <w:top w:val="nil"/>
              <w:left w:val="nil"/>
              <w:bottom w:val="nil"/>
              <w:right w:val="nil"/>
              <w:insideH w:val="nil"/>
              <w:insideV w:val="nil"/>
            </w:tcBorders>
            <w:tcMar>
              <w:top w:w="0" w:type="dxa"/>
              <w:left w:w="0" w:type="dxa"/>
              <w:bottom w:w="40" w:type="dxa"/>
              <w:right w:w="0" w:type="dxa"/>
            </w:tcMar>
          </w:tcPr>
          <w:p>
            <w:r/>
            <w:r>
              <w:rPr>
                <w:rFonts w:ascii="Arial" w:hAnsi="Arial"/>
                <w:b w:val="0"/>
                <w:i w:val="0"/>
                <w:color w:val="5E6670"/>
                <w:sz w:val="17"/>
              </w:rPr>
              <w:t>5 Harbor Crest Way, Bridgehollow, PA 15211  |  Pharmacy: (412) 555-0170</w:t>
            </w:r>
          </w:p>
        </w:tc>
        <w:tc>
          <w:tcPr>
            <w:tcW w:type="dxa" w:w="5112"/>
            <w:tcBorders>
              <w:top w:val="nil"/>
              <w:left w:val="nil"/>
              <w:bottom w:val="nil"/>
              <w:right w:val="nil"/>
              <w:insideH w:val="nil"/>
              <w:insideV w:val="nil"/>
            </w:tcBorders>
            <w:tcMar>
              <w:top w:w="0" w:type="dxa"/>
              <w:left w:w="0" w:type="dxa"/>
              <w:bottom w:w="40" w:type="dxa"/>
              <w:right w:w="0" w:type="dxa"/>
            </w:tcMar>
          </w:tcPr>
          <w:p>
            <w:pPr>
              <w:jc w:val="right"/>
            </w:pPr>
            <w:r/>
            <w:r>
              <w:rPr>
                <w:rFonts w:ascii="Arial" w:hAnsi="Arial"/>
                <w:b w:val="0"/>
                <w:i w:val="0"/>
                <w:color w:val="5E6670"/>
                <w:sz w:val="17"/>
              </w:rPr>
              <w:t>Pharmacy / Inpatient</w:t>
            </w:r>
          </w:p>
        </w:tc>
      </w:tr>
    </w:tbl>
    <w:p>
      <w:pPr>
        <w:spacing w:before="0" w:after="120"/>
        <w:pBdr>
          <w:bottom w:val="single" w:sz="6" w:space="1" w:color="B9BEC4"/>
        </w:pBdr>
      </w:pPr>
    </w:p>
    <w:tbl>
      <w:tblPr>
        <w:tblW w:type="auto" w:w="0"/>
        <w:tblLayout w:type="fixed"/>
        <w:tblLook w:firstColumn="1" w:firstRow="1" w:lastColumn="0" w:lastRow="0" w:noHBand="0" w:noVBand="1" w:val="04A0"/>
      </w:tblPr>
      <w:tblGrid>
        <w:gridCol w:w="3024"/>
        <w:gridCol w:w="2304"/>
        <w:gridCol w:w="2736"/>
        <w:gridCol w:w="2160"/>
      </w:tblGrid>
      <w:tr>
        <w:tc>
          <w:tcPr>
            <w:tcW w:type="dxa" w:w="3024"/>
            <w:shd w:val="clear" w:color="auto" w:fill="EEF1F4"/>
            <w:tcBorders>
              <w:top w:val="single" w:sz="4" w:space="0" w:color="B9BEC4"/>
              <w:left w:val="single" w:sz="4" w:space="0" w:color="B9BEC4"/>
              <w:bottom w:val="single" w:sz="4" w:space="0" w:color="B9BEC4"/>
              <w:right w:val="single" w:sz="4" w:space="0" w:color="B9BEC4"/>
            </w:tcBorders>
            <w:tcMar>
              <w:top w:w="60" w:type="dxa"/>
              <w:left w:w="90" w:type="dxa"/>
              <w:bottom w:w="60" w:type="dxa"/>
              <w:right w:w="90" w:type="dxa"/>
            </w:tcMar>
            <w:vAlign w:val="top"/>
          </w:tcPr>
          <w:p>
            <w:pPr>
              <w:spacing w:after="0"/>
            </w:pPr>
            <w:r/>
            <w:r>
              <w:rPr>
                <w:rFonts w:ascii="Arial" w:hAnsi="Arial"/>
                <w:b/>
                <w:color w:val="5E6670"/>
                <w:sz w:val="15"/>
              </w:rPr>
              <w:t>PATIENT</w:t>
            </w:r>
          </w:p>
          <w:p>
            <w:pPr>
              <w:spacing w:after="0" w:before="0"/>
            </w:pPr>
            <w:r>
              <w:rPr>
                <w:rFonts w:ascii="Arial" w:hAnsi="Arial"/>
                <w:b w:val="0"/>
                <w:sz w:val="19"/>
              </w:rPr>
              <w:t>Korvin Merrow, 62 y</w:t>
            </w:r>
          </w:p>
        </w:tc>
        <w:tc>
          <w:tcPr>
            <w:tcW w:type="dxa" w:w="2304"/>
            <w:shd w:val="clear" w:color="auto" w:fill="EEF1F4"/>
            <w:tcBorders>
              <w:top w:val="single" w:sz="4" w:space="0" w:color="B9BEC4"/>
              <w:left w:val="single" w:sz="4" w:space="0" w:color="B9BEC4"/>
              <w:bottom w:val="single" w:sz="4" w:space="0" w:color="B9BEC4"/>
              <w:right w:val="single" w:sz="4" w:space="0" w:color="B9BEC4"/>
            </w:tcBorders>
            <w:tcMar>
              <w:top w:w="60" w:type="dxa"/>
              <w:left w:w="90" w:type="dxa"/>
              <w:bottom w:w="60" w:type="dxa"/>
              <w:right w:w="90" w:type="dxa"/>
            </w:tcMar>
            <w:vAlign w:val="top"/>
          </w:tcPr>
          <w:p>
            <w:pPr>
              <w:spacing w:after="0"/>
            </w:pPr>
            <w:r/>
            <w:r>
              <w:rPr>
                <w:rFonts w:ascii="Arial" w:hAnsi="Arial"/>
                <w:b/>
                <w:color w:val="5E6670"/>
                <w:sz w:val="15"/>
              </w:rPr>
              <w:t>SEX</w:t>
            </w:r>
          </w:p>
          <w:p>
            <w:pPr>
              <w:spacing w:after="0" w:before="0"/>
            </w:pPr>
            <w:r>
              <w:rPr>
                <w:rFonts w:ascii="Arial" w:hAnsi="Arial"/>
                <w:b w:val="0"/>
                <w:sz w:val="19"/>
              </w:rPr>
              <w:t>Male</w:t>
            </w:r>
          </w:p>
        </w:tc>
        <w:tc>
          <w:tcPr>
            <w:tcW w:type="dxa" w:w="2736"/>
            <w:shd w:val="clear" w:color="auto" w:fill="EEF1F4"/>
            <w:tcBorders>
              <w:top w:val="single" w:sz="4" w:space="0" w:color="B9BEC4"/>
              <w:left w:val="single" w:sz="4" w:space="0" w:color="B9BEC4"/>
              <w:bottom w:val="single" w:sz="4" w:space="0" w:color="B9BEC4"/>
              <w:right w:val="single" w:sz="4" w:space="0" w:color="B9BEC4"/>
            </w:tcBorders>
            <w:tcMar>
              <w:top w:w="60" w:type="dxa"/>
              <w:left w:w="90" w:type="dxa"/>
              <w:bottom w:w="60" w:type="dxa"/>
              <w:right w:w="90" w:type="dxa"/>
            </w:tcMar>
            <w:vAlign w:val="top"/>
          </w:tcPr>
          <w:p>
            <w:pPr>
              <w:spacing w:after="0"/>
            </w:pPr>
            <w:r/>
            <w:r>
              <w:rPr>
                <w:rFonts w:ascii="Arial" w:hAnsi="Arial"/>
                <w:b/>
                <w:color w:val="5E6670"/>
                <w:sz w:val="15"/>
              </w:rPr>
              <w:t>DOB</w:t>
            </w:r>
          </w:p>
          <w:p>
            <w:pPr>
              <w:spacing w:after="0" w:before="0"/>
            </w:pPr>
            <w:r>
              <w:rPr>
                <w:rFonts w:ascii="Arial" w:hAnsi="Arial"/>
                <w:b w:val="0"/>
                <w:sz w:val="19"/>
              </w:rPr>
              <w:t>02/18/1964</w:t>
            </w:r>
          </w:p>
        </w:tc>
        <w:tc>
          <w:tcPr>
            <w:tcW w:type="dxa" w:w="2160"/>
            <w:shd w:val="clear" w:color="auto" w:fill="EEF1F4"/>
            <w:tcBorders>
              <w:top w:val="single" w:sz="4" w:space="0" w:color="B9BEC4"/>
              <w:left w:val="single" w:sz="4" w:space="0" w:color="B9BEC4"/>
              <w:bottom w:val="single" w:sz="4" w:space="0" w:color="B9BEC4"/>
              <w:right w:val="single" w:sz="4" w:space="0" w:color="B9BEC4"/>
            </w:tcBorders>
            <w:tcMar>
              <w:top w:w="60" w:type="dxa"/>
              <w:left w:w="90" w:type="dxa"/>
              <w:bottom w:w="60" w:type="dxa"/>
              <w:right w:w="90" w:type="dxa"/>
            </w:tcMar>
            <w:vAlign w:val="top"/>
          </w:tcPr>
          <w:p>
            <w:pPr>
              <w:spacing w:after="0"/>
            </w:pPr>
            <w:r/>
            <w:r>
              <w:rPr>
                <w:rFonts w:ascii="Arial" w:hAnsi="Arial"/>
                <w:b/>
                <w:color w:val="5E6670"/>
                <w:sz w:val="15"/>
              </w:rPr>
              <w:t>MRN</w:t>
            </w:r>
          </w:p>
          <w:p>
            <w:pPr>
              <w:spacing w:after="0" w:before="0"/>
            </w:pPr>
            <w:r>
              <w:rPr>
                <w:rFonts w:ascii="Arial" w:hAnsi="Arial"/>
                <w:b w:val="0"/>
                <w:sz w:val="19"/>
              </w:rPr>
              <w:t>KM-6427819</w:t>
            </w:r>
          </w:p>
        </w:tc>
      </w:tr>
      <w:tr>
        <w:tc>
          <w:tcPr>
            <w:tcW w:type="dxa" w:w="3024"/>
            <w:tcBorders>
              <w:top w:val="single" w:sz="4" w:space="0" w:color="B9BEC4"/>
              <w:left w:val="single" w:sz="4" w:space="0" w:color="B9BEC4"/>
              <w:bottom w:val="single" w:sz="4" w:space="0" w:color="B9BEC4"/>
              <w:right w:val="single" w:sz="4" w:space="0" w:color="B9BEC4"/>
            </w:tcBorders>
            <w:tcMar>
              <w:top w:w="60" w:type="dxa"/>
              <w:left w:w="90" w:type="dxa"/>
              <w:bottom w:w="60" w:type="dxa"/>
              <w:right w:w="90" w:type="dxa"/>
            </w:tcMar>
            <w:vAlign w:val="top"/>
          </w:tcPr>
          <w:p>
            <w:pPr>
              <w:spacing w:after="0"/>
            </w:pPr>
            <w:r/>
            <w:r>
              <w:rPr>
                <w:rFonts w:ascii="Arial" w:hAnsi="Arial"/>
                <w:b/>
                <w:color w:val="5E6670"/>
                <w:sz w:val="15"/>
              </w:rPr>
              <w:t>DATE / ANCHOR</w:t>
            </w:r>
          </w:p>
          <w:p>
            <w:pPr>
              <w:spacing w:after="0" w:before="0"/>
            </w:pPr>
            <w:r>
              <w:rPr>
                <w:rFonts w:ascii="Arial" w:hAnsi="Arial"/>
                <w:b w:val="0"/>
                <w:sz w:val="19"/>
              </w:rPr>
              <w:t>05/18/2026 / HD1</w:t>
            </w:r>
          </w:p>
        </w:tc>
        <w:tc>
          <w:tcPr>
            <w:tcW w:type="dxa" w:w="2304"/>
            <w:tcBorders>
              <w:top w:val="single" w:sz="4" w:space="0" w:color="B9BEC4"/>
              <w:left w:val="single" w:sz="4" w:space="0" w:color="B9BEC4"/>
              <w:bottom w:val="single" w:sz="4" w:space="0" w:color="B9BEC4"/>
              <w:right w:val="single" w:sz="4" w:space="0" w:color="B9BEC4"/>
            </w:tcBorders>
            <w:tcMar>
              <w:top w:w="60" w:type="dxa"/>
              <w:left w:w="90" w:type="dxa"/>
              <w:bottom w:w="60" w:type="dxa"/>
              <w:right w:w="90" w:type="dxa"/>
            </w:tcMar>
            <w:vAlign w:val="top"/>
          </w:tcPr>
          <w:p>
            <w:pPr>
              <w:spacing w:after="0"/>
            </w:pPr>
            <w:r/>
            <w:r>
              <w:rPr>
                <w:rFonts w:ascii="Arial" w:hAnsi="Arial"/>
                <w:b/>
                <w:color w:val="5E6670"/>
                <w:sz w:val="15"/>
              </w:rPr>
              <w:t>UNIT / ROOM</w:t>
            </w:r>
          </w:p>
          <w:p>
            <w:pPr>
              <w:spacing w:after="0" w:before="0"/>
            </w:pPr>
            <w:r>
              <w:rPr>
                <w:rFonts w:ascii="Arial" w:hAnsi="Arial"/>
                <w:b w:val="0"/>
                <w:sz w:val="19"/>
              </w:rPr>
              <w:t>5 West Medical / 5W-318</w:t>
            </w:r>
          </w:p>
        </w:tc>
        <w:tc>
          <w:tcPr>
            <w:tcW w:type="dxa" w:w="2736"/>
            <w:tcBorders>
              <w:top w:val="single" w:sz="4" w:space="0" w:color="B9BEC4"/>
              <w:left w:val="single" w:sz="4" w:space="0" w:color="B9BEC4"/>
              <w:bottom w:val="single" w:sz="4" w:space="0" w:color="B9BEC4"/>
              <w:right w:val="single" w:sz="4" w:space="0" w:color="B9BEC4"/>
            </w:tcBorders>
            <w:tcMar>
              <w:top w:w="60" w:type="dxa"/>
              <w:left w:w="90" w:type="dxa"/>
              <w:bottom w:w="60" w:type="dxa"/>
              <w:right w:w="90" w:type="dxa"/>
            </w:tcMar>
            <w:vAlign w:val="top"/>
          </w:tcPr>
          <w:p>
            <w:pPr>
              <w:spacing w:after="0"/>
            </w:pPr>
            <w:r/>
            <w:r>
              <w:rPr>
                <w:rFonts w:ascii="Arial" w:hAnsi="Arial"/>
                <w:b/>
                <w:color w:val="5E6670"/>
                <w:sz w:val="15"/>
              </w:rPr>
              <w:t>ALLERGIES</w:t>
            </w:r>
          </w:p>
          <w:p>
            <w:pPr>
              <w:spacing w:after="0" w:before="0"/>
            </w:pPr>
            <w:r>
              <w:rPr>
                <w:rFonts w:ascii="Arial" w:hAnsi="Arial"/>
                <w:b w:val="0"/>
                <w:sz w:val="19"/>
              </w:rPr>
              <w:t>Lisinopril (cough) — ACE-inhibitor intolerance</w:t>
            </w:r>
          </w:p>
        </w:tc>
        <w:tc>
          <w:tcPr>
            <w:tcW w:type="dxa" w:w="2160"/>
            <w:tcBorders>
              <w:top w:val="single" w:sz="4" w:space="0" w:color="B9BEC4"/>
              <w:left w:val="single" w:sz="4" w:space="0" w:color="B9BEC4"/>
              <w:bottom w:val="single" w:sz="4" w:space="0" w:color="B9BEC4"/>
              <w:right w:val="single" w:sz="4" w:space="0" w:color="B9BEC4"/>
            </w:tcBorders>
            <w:tcMar>
              <w:top w:w="60" w:type="dxa"/>
              <w:left w:w="90" w:type="dxa"/>
              <w:bottom w:w="60" w:type="dxa"/>
              <w:right w:w="90" w:type="dxa"/>
            </w:tcMar>
            <w:vAlign w:val="top"/>
          </w:tcPr>
          <w:p>
            <w:pPr>
              <w:spacing w:after="0"/>
            </w:pPr>
            <w:r/>
            <w:r>
              <w:rPr>
                <w:rFonts w:ascii="Arial" w:hAnsi="Arial"/>
                <w:b/>
                <w:color w:val="5E6670"/>
                <w:sz w:val="15"/>
              </w:rPr>
              <w:t>FIN</w:t>
            </w:r>
          </w:p>
          <w:p>
            <w:pPr>
              <w:spacing w:after="0" w:before="0"/>
            </w:pPr>
            <w:r>
              <w:rPr>
                <w:rFonts w:ascii="Arial" w:hAnsi="Arial"/>
                <w:b w:val="0"/>
                <w:sz w:val="19"/>
              </w:rPr>
              <w:t>KM-2026-051877</w:t>
            </w:r>
          </w:p>
        </w:tc>
      </w:tr>
      <w:tr>
        <w:tc>
          <w:tcPr>
            <w:tcW w:type="dxa" w:w="3024"/>
            <w:tcBorders>
              <w:top w:val="single" w:sz="4" w:space="0" w:color="B9BEC4"/>
              <w:left w:val="single" w:sz="4" w:space="0" w:color="B9BEC4"/>
              <w:bottom w:val="single" w:sz="4" w:space="0" w:color="B9BEC4"/>
              <w:right w:val="single" w:sz="4" w:space="0" w:color="B9BEC4"/>
            </w:tcBorders>
            <w:tcMar>
              <w:top w:w="60" w:type="dxa"/>
              <w:left w:w="90" w:type="dxa"/>
              <w:bottom w:w="60" w:type="dxa"/>
              <w:right w:w="90" w:type="dxa"/>
            </w:tcMar>
            <w:vAlign w:val="top"/>
          </w:tcPr>
          <w:p>
            <w:pPr>
              <w:spacing w:after="0"/>
            </w:pPr>
            <w:r/>
            <w:r>
              <w:rPr>
                <w:rFonts w:ascii="Arial" w:hAnsi="Arial"/>
                <w:b/>
                <w:color w:val="5E6670"/>
                <w:sz w:val="15"/>
              </w:rPr>
              <w:t>ADMITTING ATTENDING</w:t>
            </w:r>
          </w:p>
          <w:p>
            <w:pPr>
              <w:spacing w:after="0" w:before="0"/>
            </w:pPr>
            <w:r>
              <w:rPr>
                <w:rFonts w:ascii="Arial" w:hAnsi="Arial"/>
                <w:b w:val="0"/>
                <w:sz w:val="19"/>
              </w:rPr>
              <w:t>Elian Vossmere, MD</w:t>
            </w:r>
          </w:p>
        </w:tc>
        <w:tc>
          <w:tcPr>
            <w:tcW w:type="dxa" w:w="2304"/>
            <w:tcBorders>
              <w:top w:val="single" w:sz="4" w:space="0" w:color="B9BEC4"/>
              <w:left w:val="single" w:sz="4" w:space="0" w:color="B9BEC4"/>
              <w:bottom w:val="single" w:sz="4" w:space="0" w:color="B9BEC4"/>
              <w:right w:val="single" w:sz="4" w:space="0" w:color="B9BEC4"/>
            </w:tcBorders>
            <w:tcMar>
              <w:top w:w="60" w:type="dxa"/>
              <w:left w:w="90" w:type="dxa"/>
              <w:bottom w:w="60" w:type="dxa"/>
              <w:right w:w="90" w:type="dxa"/>
            </w:tcMar>
            <w:vAlign w:val="top"/>
          </w:tcPr>
          <w:p>
            <w:pPr>
              <w:spacing w:after="0"/>
            </w:pPr>
            <w:r/>
            <w:r>
              <w:rPr>
                <w:rFonts w:ascii="Arial" w:hAnsi="Arial"/>
                <w:b/>
                <w:color w:val="5E6670"/>
                <w:sz w:val="15"/>
              </w:rPr>
              <w:t>SERVICE</w:t>
            </w:r>
          </w:p>
          <w:p>
            <w:pPr>
              <w:spacing w:after="0" w:before="0"/>
            </w:pPr>
            <w:r>
              <w:rPr>
                <w:rFonts w:ascii="Arial" w:hAnsi="Arial"/>
                <w:b w:val="0"/>
                <w:sz w:val="19"/>
              </w:rPr>
              <w:t>Hospital Medicine</w:t>
            </w:r>
          </w:p>
        </w:tc>
        <w:tc>
          <w:tcPr>
            <w:tcW w:type="dxa" w:w="2736"/>
            <w:tcBorders>
              <w:top w:val="single" w:sz="4" w:space="0" w:color="B9BEC4"/>
              <w:left w:val="single" w:sz="4" w:space="0" w:color="B9BEC4"/>
              <w:bottom w:val="single" w:sz="4" w:space="0" w:color="B9BEC4"/>
              <w:right w:val="single" w:sz="4" w:space="0" w:color="B9BEC4"/>
            </w:tcBorders>
            <w:tcMar>
              <w:top w:w="60" w:type="dxa"/>
              <w:left w:w="90" w:type="dxa"/>
              <w:bottom w:w="60" w:type="dxa"/>
              <w:right w:w="90" w:type="dxa"/>
            </w:tcMar>
            <w:vAlign w:val="top"/>
          </w:tcPr>
          <w:p>
            <w:pPr>
              <w:spacing w:after="0"/>
            </w:pPr>
            <w:r/>
            <w:r>
              <w:rPr>
                <w:rFonts w:ascii="Arial" w:hAnsi="Arial"/>
                <w:b/>
                <w:color w:val="5E6670"/>
                <w:sz w:val="15"/>
              </w:rPr>
              <w:t>CODE STATUS</w:t>
            </w:r>
          </w:p>
          <w:p>
            <w:pPr>
              <w:spacing w:after="0" w:before="0"/>
            </w:pPr>
            <w:r>
              <w:rPr>
                <w:rFonts w:ascii="Arial" w:hAnsi="Arial"/>
                <w:b w:val="0"/>
                <w:sz w:val="19"/>
              </w:rPr>
              <w:t>Full Code (confirmed 05/18/2026)</w:t>
            </w:r>
          </w:p>
        </w:tc>
        <w:tc>
          <w:tcPr>
            <w:tcW w:type="dxa" w:w="2160"/>
            <w:tcBorders>
              <w:top w:val="single" w:sz="4" w:space="0" w:color="B9BEC4"/>
              <w:left w:val="single" w:sz="4" w:space="0" w:color="B9BEC4"/>
              <w:bottom w:val="single" w:sz="4" w:space="0" w:color="B9BEC4"/>
              <w:right w:val="single" w:sz="4" w:space="0" w:color="B9BEC4"/>
            </w:tcBorders>
            <w:tcMar>
              <w:top w:w="60" w:type="dxa"/>
              <w:left w:w="90" w:type="dxa"/>
              <w:bottom w:w="60" w:type="dxa"/>
              <w:right w:w="90" w:type="dxa"/>
            </w:tcMar>
            <w:vAlign w:val="top"/>
          </w:tcPr>
          <w:p>
            <w:pPr>
              <w:spacing w:after="0"/>
            </w:pPr>
            <w:r/>
            <w:r>
              <w:rPr>
                <w:rFonts w:ascii="Arial" w:hAnsi="Arial"/>
                <w:b/>
                <w:color w:val="5E6670"/>
                <w:sz w:val="15"/>
              </w:rPr>
              <w:t>DOCUMENT</w:t>
            </w:r>
          </w:p>
          <w:p>
            <w:pPr>
              <w:spacing w:after="0" w:before="0"/>
            </w:pPr>
            <w:r>
              <w:rPr>
                <w:rFonts w:ascii="Arial" w:hAnsi="Arial"/>
                <w:b w:val="0"/>
                <w:sz w:val="19"/>
              </w:rPr>
              <w:t>Initial medication reconciliation note</w:t>
            </w:r>
          </w:p>
        </w:tc>
      </w:tr>
    </w:tbl>
    <w:p>
      <w:pPr>
        <w:spacing w:after="80"/>
      </w:pPr>
    </w:p>
    <w:p>
      <w:pPr>
        <w:spacing w:before="40" w:after="80"/>
        <w:jc w:val="left"/>
      </w:pPr>
      <w:r>
        <w:rPr>
          <w:rFonts w:ascii="Arial" w:hAnsi="Arial"/>
          <w:b/>
          <w:sz w:val="26"/>
        </w:rPr>
        <w:t>INITIAL MEDICATION RECONCILIATION NOTE</w:t>
      </w:r>
    </w:p>
    <w:tbl>
      <w:tblPr>
        <w:tblW w:type="auto" w:w="0"/>
        <w:tblLayout w:type="fixed"/>
        <w:tblLook w:firstColumn="1" w:firstRow="1" w:lastColumn="0" w:lastRow="0" w:noHBand="0" w:noVBand="1" w:val="04A0"/>
      </w:tblPr>
      <w:tblGrid>
        <w:gridCol w:w="2304"/>
        <w:gridCol w:w="7920"/>
      </w:tblGrid>
      <w:tr>
        <w:tc>
          <w:tcPr>
            <w:tcW w:type="dxa" w:w="2304"/>
            <w:tcBorders>
              <w:top w:val="single" w:sz="4" w:space="0" w:color="B9BEC4"/>
              <w:left w:val="single" w:sz="4" w:space="0" w:color="B9BEC4"/>
              <w:bottom w:val="single" w:sz="4" w:space="0" w:color="B9BEC4"/>
              <w:right w:val="single" w:sz="4" w:space="0" w:color="B9BEC4"/>
            </w:tcBorders>
            <w:tcMar>
              <w:top w:w="50" w:type="dxa"/>
              <w:left w:w="90" w:type="dxa"/>
              <w:bottom w:w="50" w:type="dxa"/>
              <w:right w:w="90" w:type="dxa"/>
            </w:tcMar>
            <w:shd w:val="clear" w:color="auto" w:fill="EEF1F4"/>
          </w:tcPr>
          <w:p>
            <w:r/>
            <w:r>
              <w:rPr>
                <w:rFonts w:ascii="Arial" w:hAnsi="Arial"/>
                <w:b/>
                <w:i w:val="0"/>
                <w:sz w:val="19"/>
              </w:rPr>
              <w:t>Author:</w:t>
            </w:r>
          </w:p>
        </w:tc>
        <w:tc>
          <w:tcPr>
            <w:tcW w:type="dxa" w:w="7920"/>
            <w:tcBorders>
              <w:top w:val="single" w:sz="4" w:space="0" w:color="B9BEC4"/>
              <w:left w:val="single" w:sz="4" w:space="0" w:color="B9BEC4"/>
              <w:bottom w:val="single" w:sz="4" w:space="0" w:color="B9BEC4"/>
              <w:right w:val="single" w:sz="4" w:space="0" w:color="B9BEC4"/>
            </w:tcBorders>
            <w:tcMar>
              <w:top w:w="50" w:type="dxa"/>
              <w:left w:w="90" w:type="dxa"/>
              <w:bottom w:w="50" w:type="dxa"/>
              <w:right w:w="90" w:type="dxa"/>
            </w:tcMar>
          </w:tcPr>
          <w:p>
            <w:r/>
            <w:r>
              <w:rPr>
                <w:rFonts w:ascii="Arial" w:hAnsi="Arial"/>
                <w:b w:val="0"/>
                <w:i w:val="0"/>
                <w:sz w:val="19"/>
              </w:rPr>
              <w:t>Ezekiel Marlott, PharmD, BCPS — Inpatient Pharmacy</w:t>
            </w:r>
          </w:p>
        </w:tc>
      </w:tr>
      <w:tr>
        <w:tc>
          <w:tcPr>
            <w:tcW w:type="dxa" w:w="2304"/>
            <w:tcBorders>
              <w:top w:val="single" w:sz="4" w:space="0" w:color="B9BEC4"/>
              <w:left w:val="single" w:sz="4" w:space="0" w:color="B9BEC4"/>
              <w:bottom w:val="single" w:sz="4" w:space="0" w:color="B9BEC4"/>
              <w:right w:val="single" w:sz="4" w:space="0" w:color="B9BEC4"/>
            </w:tcBorders>
            <w:tcMar>
              <w:top w:w="50" w:type="dxa"/>
              <w:left w:w="90" w:type="dxa"/>
              <w:bottom w:w="50" w:type="dxa"/>
              <w:right w:w="90" w:type="dxa"/>
            </w:tcMar>
            <w:shd w:val="clear" w:color="auto" w:fill="EEF1F4"/>
          </w:tcPr>
          <w:p>
            <w:r/>
            <w:r>
              <w:rPr>
                <w:rFonts w:ascii="Arial" w:hAnsi="Arial"/>
                <w:b/>
                <w:i w:val="0"/>
                <w:sz w:val="19"/>
              </w:rPr>
              <w:t>Department:</w:t>
            </w:r>
          </w:p>
        </w:tc>
        <w:tc>
          <w:tcPr>
            <w:tcW w:type="dxa" w:w="7920"/>
            <w:tcBorders>
              <w:top w:val="single" w:sz="4" w:space="0" w:color="B9BEC4"/>
              <w:left w:val="single" w:sz="4" w:space="0" w:color="B9BEC4"/>
              <w:bottom w:val="single" w:sz="4" w:space="0" w:color="B9BEC4"/>
              <w:right w:val="single" w:sz="4" w:space="0" w:color="B9BEC4"/>
            </w:tcBorders>
            <w:tcMar>
              <w:top w:w="50" w:type="dxa"/>
              <w:left w:w="90" w:type="dxa"/>
              <w:bottom w:w="50" w:type="dxa"/>
              <w:right w:w="90" w:type="dxa"/>
            </w:tcMar>
          </w:tcPr>
          <w:p>
            <w:r/>
            <w:r>
              <w:rPr>
                <w:rFonts w:ascii="Arial" w:hAnsi="Arial"/>
                <w:b w:val="0"/>
                <w:i w:val="0"/>
                <w:sz w:val="19"/>
              </w:rPr>
              <w:t>Pharmacy / Inpatient medication reconciliation</w:t>
            </w:r>
          </w:p>
        </w:tc>
      </w:tr>
      <w:tr>
        <w:tc>
          <w:tcPr>
            <w:tcW w:type="dxa" w:w="2304"/>
            <w:tcBorders>
              <w:top w:val="single" w:sz="4" w:space="0" w:color="B9BEC4"/>
              <w:left w:val="single" w:sz="4" w:space="0" w:color="B9BEC4"/>
              <w:bottom w:val="single" w:sz="4" w:space="0" w:color="B9BEC4"/>
              <w:right w:val="single" w:sz="4" w:space="0" w:color="B9BEC4"/>
            </w:tcBorders>
            <w:tcMar>
              <w:top w:w="50" w:type="dxa"/>
              <w:left w:w="90" w:type="dxa"/>
              <w:bottom w:w="50" w:type="dxa"/>
              <w:right w:w="90" w:type="dxa"/>
            </w:tcMar>
            <w:shd w:val="clear" w:color="auto" w:fill="EEF1F4"/>
          </w:tcPr>
          <w:p>
            <w:r/>
            <w:r>
              <w:rPr>
                <w:rFonts w:ascii="Arial" w:hAnsi="Arial"/>
                <w:b/>
                <w:i w:val="0"/>
                <w:sz w:val="19"/>
              </w:rPr>
              <w:t>Date of Service:</w:t>
            </w:r>
          </w:p>
        </w:tc>
        <w:tc>
          <w:tcPr>
            <w:tcW w:type="dxa" w:w="7920"/>
            <w:tcBorders>
              <w:top w:val="single" w:sz="4" w:space="0" w:color="B9BEC4"/>
              <w:left w:val="single" w:sz="4" w:space="0" w:color="B9BEC4"/>
              <w:bottom w:val="single" w:sz="4" w:space="0" w:color="B9BEC4"/>
              <w:right w:val="single" w:sz="4" w:space="0" w:color="B9BEC4"/>
            </w:tcBorders>
            <w:tcMar>
              <w:top w:w="50" w:type="dxa"/>
              <w:left w:w="90" w:type="dxa"/>
              <w:bottom w:w="50" w:type="dxa"/>
              <w:right w:w="90" w:type="dxa"/>
            </w:tcMar>
          </w:tcPr>
          <w:p>
            <w:r/>
            <w:r>
              <w:rPr>
                <w:rFonts w:ascii="Arial" w:hAnsi="Arial"/>
                <w:b w:val="0"/>
                <w:i w:val="0"/>
                <w:sz w:val="19"/>
              </w:rPr>
              <w:t>05/18/2026 (HD1)</w:t>
            </w:r>
          </w:p>
        </w:tc>
      </w:tr>
      <w:tr>
        <w:tc>
          <w:tcPr>
            <w:tcW w:type="dxa" w:w="2304"/>
            <w:tcBorders>
              <w:top w:val="single" w:sz="4" w:space="0" w:color="B9BEC4"/>
              <w:left w:val="single" w:sz="4" w:space="0" w:color="B9BEC4"/>
              <w:bottom w:val="single" w:sz="4" w:space="0" w:color="B9BEC4"/>
              <w:right w:val="single" w:sz="4" w:space="0" w:color="B9BEC4"/>
            </w:tcBorders>
            <w:tcMar>
              <w:top w:w="50" w:type="dxa"/>
              <w:left w:w="90" w:type="dxa"/>
              <w:bottom w:w="50" w:type="dxa"/>
              <w:right w:w="90" w:type="dxa"/>
            </w:tcMar>
            <w:shd w:val="clear" w:color="auto" w:fill="EEF1F4"/>
          </w:tcPr>
          <w:p>
            <w:r/>
            <w:r>
              <w:rPr>
                <w:rFonts w:ascii="Arial" w:hAnsi="Arial"/>
                <w:b/>
                <w:i w:val="0"/>
                <w:sz w:val="19"/>
              </w:rPr>
              <w:t>Status:</w:t>
            </w:r>
          </w:p>
        </w:tc>
        <w:tc>
          <w:tcPr>
            <w:tcW w:type="dxa" w:w="7920"/>
            <w:tcBorders>
              <w:top w:val="single" w:sz="4" w:space="0" w:color="B9BEC4"/>
              <w:left w:val="single" w:sz="4" w:space="0" w:color="B9BEC4"/>
              <w:bottom w:val="single" w:sz="4" w:space="0" w:color="B9BEC4"/>
              <w:right w:val="single" w:sz="4" w:space="0" w:color="B9BEC4"/>
            </w:tcBorders>
            <w:tcMar>
              <w:top w:w="50" w:type="dxa"/>
              <w:left w:w="90" w:type="dxa"/>
              <w:bottom w:w="50" w:type="dxa"/>
              <w:right w:w="90" w:type="dxa"/>
            </w:tcMar>
          </w:tcPr>
          <w:p>
            <w:r/>
            <w:r>
              <w:rPr>
                <w:rFonts w:ascii="Arial" w:hAnsi="Arial"/>
                <w:b w:val="0"/>
                <w:i w:val="0"/>
                <w:sz w:val="19"/>
              </w:rPr>
              <w:t>Signed — initial reconciliation; not final discharge reconciliation</w:t>
            </w:r>
          </w:p>
        </w:tc>
      </w:tr>
    </w:tbl>
    <w:p>
      <w:pPr>
        <w:spacing w:after="40"/>
      </w:pPr>
    </w:p>
    <w:p>
      <w:pPr>
        <w:spacing w:before="160" w:after="60"/>
        <w:pBdr>
          <w:bottom w:val="single" w:sz="6" w:space="1" w:color="B9BEC4"/>
        </w:pBdr>
      </w:pPr>
      <w:r>
        <w:rPr>
          <w:rFonts w:ascii="Arial" w:hAnsi="Arial"/>
          <w:b/>
          <w:sz w:val="21"/>
        </w:rPr>
        <w:t>SOURCES REVIEWED FOR THIS RECONCILIATION</w:t>
      </w:r>
    </w:p>
    <w:p>
      <w:pPr>
        <w:pStyle w:val="ListBullet"/>
        <w:spacing w:after="20" w:before="0"/>
        <w:ind w:left="360"/>
      </w:pPr>
      <w:r/>
      <w:r>
        <w:rPr>
          <w:rFonts w:ascii="Arial" w:hAnsi="Arial"/>
          <w:sz w:val="20"/>
        </w:rPr>
        <w:t>Patient interview at bedside (Korvin Merrow) — limited reliability; fatigued, slow cadence, defers to wife on timing detail.</w:t>
      </w:r>
    </w:p>
    <w:p>
      <w:pPr>
        <w:pStyle w:val="ListBullet"/>
        <w:spacing w:after="20" w:before="0"/>
        <w:ind w:left="360"/>
      </w:pPr>
      <w:r/>
      <w:r>
        <w:rPr>
          <w:rFonts w:ascii="Arial" w:hAnsi="Arial"/>
          <w:sz w:val="20"/>
        </w:rPr>
        <w:t>Family interview (Mara Merrow, wife / primary caregiver / healthcare proxy, at bedside).</w:t>
      </w:r>
    </w:p>
    <w:p>
      <w:pPr>
        <w:pStyle w:val="ListBullet"/>
        <w:spacing w:after="20" w:before="0"/>
        <w:ind w:left="360"/>
      </w:pPr>
      <w:r/>
      <w:r>
        <w:rPr>
          <w:rFonts w:ascii="Arial" w:hAnsi="Arial"/>
          <w:sz w:val="20"/>
        </w:rPr>
        <w:t>Outpatient pharmacy refill history, Harbor Crest Community Pharmacy (NCPDP 3947182), reviewed via Surescripts feed and pharmacy phone confirmation.</w:t>
      </w:r>
    </w:p>
    <w:p>
      <w:pPr>
        <w:pStyle w:val="ListBullet"/>
        <w:spacing w:after="20" w:before="0"/>
        <w:ind w:left="360"/>
      </w:pPr>
      <w:r/>
      <w:r>
        <w:rPr>
          <w:rFonts w:ascii="Arial" w:hAnsi="Arial"/>
          <w:sz w:val="20"/>
        </w:rPr>
        <w:t>Primary care electronic record, Mercy Vale Primary Care – Harbor Crest Clinic (Talia Quenor, MD), latest visit note and active medication list.</w:t>
      </w:r>
    </w:p>
    <w:p>
      <w:pPr>
        <w:pStyle w:val="ListBullet"/>
        <w:spacing w:after="20" w:before="0"/>
        <w:ind w:left="360"/>
      </w:pPr>
      <w:r/>
      <w:r>
        <w:rPr>
          <w:rFonts w:ascii="Arial" w:hAnsi="Arial"/>
          <w:sz w:val="20"/>
        </w:rPr>
        <w:t>Medication bag brought from home (bottles inspected; pill counts not used as primary verification).</w:t>
      </w:r>
    </w:p>
    <w:p>
      <w:pPr>
        <w:spacing w:after="40" w:before="80"/>
      </w:pPr>
      <w:r>
        <w:rPr>
          <w:rFonts w:ascii="Arial" w:hAnsi="Arial"/>
          <w:i w:val="0"/>
          <w:sz w:val="20"/>
        </w:rPr>
        <w:t>Source-verified (Y/N) below reflects agreement across at least two independent sources (patient/family/pharmacy fill history/primary care record) for the medication identity, dose, route, and frequency. Items marked N have not yet been reconciled across the required source set as of this note.</w:t>
      </w:r>
    </w:p>
    <w:p>
      <w:pPr>
        <w:spacing w:before="160" w:after="60"/>
        <w:pBdr>
          <w:bottom w:val="single" w:sz="6" w:space="1" w:color="B9BEC4"/>
        </w:pBdr>
      </w:pPr>
      <w:r>
        <w:rPr>
          <w:rFonts w:ascii="Arial" w:hAnsi="Arial"/>
          <w:b/>
          <w:sz w:val="21"/>
        </w:rPr>
        <w:t>HOME MEDICATION RECONCILIATION TABLE</w:t>
      </w:r>
    </w:p>
    <w:tbl>
      <w:tblPr>
        <w:tblW w:type="auto" w:w="0"/>
        <w:tblLayout w:type="fixed"/>
        <w:tblLook w:firstColumn="1" w:firstRow="1" w:lastColumn="0" w:lastRow="0" w:noHBand="0" w:noVBand="1" w:val="04A0"/>
      </w:tblPr>
      <w:tblGrid>
        <w:gridCol w:w="374"/>
        <w:gridCol w:w="1434"/>
        <w:gridCol w:w="935"/>
        <w:gridCol w:w="810"/>
        <w:gridCol w:w="1060"/>
        <w:gridCol w:w="1372"/>
        <w:gridCol w:w="686"/>
        <w:gridCol w:w="1372"/>
        <w:gridCol w:w="2182"/>
      </w:tblGrid>
      <w:tr>
        <w:tc>
          <w:tcPr>
            <w:tcW w:type="dxa" w:w="374"/>
            <w:shd w:val="clear" w:color="auto" w:fill="EEF1F4"/>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center"/>
            </w:pPr>
            <w:r/>
            <w:r>
              <w:rPr>
                <w:rFonts w:ascii="Arial" w:hAnsi="Arial"/>
                <w:b/>
                <w:i w:val="0"/>
                <w:sz w:val="17"/>
              </w:rPr>
              <w:t>#</w:t>
            </w:r>
          </w:p>
        </w:tc>
        <w:tc>
          <w:tcPr>
            <w:tcW w:type="dxa" w:w="1434"/>
            <w:shd w:val="clear" w:color="auto" w:fill="EEF1F4"/>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i w:val="0"/>
                <w:sz w:val="17"/>
              </w:rPr>
              <w:t>Medication</w:t>
            </w:r>
          </w:p>
        </w:tc>
        <w:tc>
          <w:tcPr>
            <w:tcW w:type="dxa" w:w="935"/>
            <w:shd w:val="clear" w:color="auto" w:fill="EEF1F4"/>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i w:val="0"/>
                <w:sz w:val="17"/>
              </w:rPr>
              <w:t>Dose</w:t>
            </w:r>
          </w:p>
        </w:tc>
        <w:tc>
          <w:tcPr>
            <w:tcW w:type="dxa" w:w="810"/>
            <w:shd w:val="clear" w:color="auto" w:fill="EEF1F4"/>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i w:val="0"/>
                <w:sz w:val="17"/>
              </w:rPr>
              <w:t>Route</w:t>
            </w:r>
          </w:p>
        </w:tc>
        <w:tc>
          <w:tcPr>
            <w:tcW w:type="dxa" w:w="1060"/>
            <w:shd w:val="clear" w:color="auto" w:fill="EEF1F4"/>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i w:val="0"/>
                <w:sz w:val="17"/>
              </w:rPr>
              <w:t>Frequency</w:t>
            </w:r>
          </w:p>
        </w:tc>
        <w:tc>
          <w:tcPr>
            <w:tcW w:type="dxa" w:w="1372"/>
            <w:shd w:val="clear" w:color="auto" w:fill="EEF1F4"/>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i w:val="0"/>
                <w:sz w:val="17"/>
              </w:rPr>
              <w:t>Indication</w:t>
            </w:r>
          </w:p>
        </w:tc>
        <w:tc>
          <w:tcPr>
            <w:tcW w:type="dxa" w:w="686"/>
            <w:shd w:val="clear" w:color="auto" w:fill="EEF1F4"/>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center"/>
            </w:pPr>
            <w:r/>
            <w:r>
              <w:rPr>
                <w:rFonts w:ascii="Arial" w:hAnsi="Arial"/>
                <w:b/>
                <w:i w:val="0"/>
                <w:sz w:val="17"/>
              </w:rPr>
              <w:t>Source verified (Y/N)</w:t>
            </w:r>
          </w:p>
        </w:tc>
        <w:tc>
          <w:tcPr>
            <w:tcW w:type="dxa" w:w="1372"/>
            <w:shd w:val="clear" w:color="auto" w:fill="EEF1F4"/>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i w:val="0"/>
                <w:sz w:val="17"/>
              </w:rPr>
              <w:t>Source(s) used</w:t>
            </w:r>
          </w:p>
        </w:tc>
        <w:tc>
          <w:tcPr>
            <w:tcW w:type="dxa" w:w="2182"/>
            <w:shd w:val="clear" w:color="auto" w:fill="EEF1F4"/>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i w:val="0"/>
                <w:sz w:val="17"/>
              </w:rPr>
              <w:t>Notes</w:t>
            </w:r>
          </w:p>
        </w:tc>
      </w:tr>
      <w:tr>
        <w:tc>
          <w:tcPr>
            <w:tcW w:type="dxa" w:w="374"/>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center"/>
            </w:pPr>
            <w:r/>
            <w:r>
              <w:rPr>
                <w:rFonts w:ascii="Arial" w:hAnsi="Arial"/>
                <w:b w:val="0"/>
                <w:i w:val="0"/>
                <w:sz w:val="17"/>
              </w:rPr>
              <w:t>1</w:t>
            </w:r>
          </w:p>
        </w:tc>
        <w:tc>
          <w:tcPr>
            <w:tcW w:type="dxa" w:w="1434"/>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Aspirin 81 mg</w:t>
            </w:r>
          </w:p>
        </w:tc>
        <w:tc>
          <w:tcPr>
            <w:tcW w:type="dxa" w:w="935"/>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81 mg</w:t>
            </w:r>
          </w:p>
        </w:tc>
        <w:tc>
          <w:tcPr>
            <w:tcW w:type="dxa" w:w="810"/>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Oral</w:t>
            </w:r>
          </w:p>
        </w:tc>
        <w:tc>
          <w:tcPr>
            <w:tcW w:type="dxa" w:w="1060"/>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Daily</w:t>
            </w:r>
          </w:p>
        </w:tc>
        <w:tc>
          <w:tcPr>
            <w:tcW w:type="dxa" w:w="1372"/>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CAD secondary prevention (post remote mid-LAD DES, 2018)</w:t>
            </w:r>
          </w:p>
        </w:tc>
        <w:tc>
          <w:tcPr>
            <w:tcW w:type="dxa" w:w="686"/>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center"/>
            </w:pPr>
            <w:r/>
            <w:r>
              <w:rPr>
                <w:rFonts w:ascii="Arial" w:hAnsi="Arial"/>
                <w:b w:val="0"/>
                <w:i w:val="0"/>
                <w:sz w:val="17"/>
              </w:rPr>
              <w:t>Y</w:t>
            </w:r>
          </w:p>
        </w:tc>
        <w:tc>
          <w:tcPr>
            <w:tcW w:type="dxa" w:w="1372"/>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Patient; family; pharmacy fill history; primary care record</w:t>
            </w:r>
          </w:p>
        </w:tc>
        <w:tc>
          <w:tcPr>
            <w:tcW w:type="dxa" w:w="2182"/>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All four sources agree. Long-standing; no recent change.</w:t>
            </w:r>
          </w:p>
        </w:tc>
      </w:tr>
      <w:tr>
        <w:tc>
          <w:tcPr>
            <w:tcW w:type="dxa" w:w="374"/>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center"/>
            </w:pPr>
            <w:r/>
            <w:r>
              <w:rPr>
                <w:rFonts w:ascii="Arial" w:hAnsi="Arial"/>
                <w:b w:val="0"/>
                <w:i w:val="0"/>
                <w:sz w:val="17"/>
              </w:rPr>
              <w:t>2</w:t>
            </w:r>
          </w:p>
        </w:tc>
        <w:tc>
          <w:tcPr>
            <w:tcW w:type="dxa" w:w="1434"/>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Atorvastatin 40 mg</w:t>
            </w:r>
          </w:p>
        </w:tc>
        <w:tc>
          <w:tcPr>
            <w:tcW w:type="dxa" w:w="935"/>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40 mg</w:t>
            </w:r>
          </w:p>
        </w:tc>
        <w:tc>
          <w:tcPr>
            <w:tcW w:type="dxa" w:w="810"/>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Oral</w:t>
            </w:r>
          </w:p>
        </w:tc>
        <w:tc>
          <w:tcPr>
            <w:tcW w:type="dxa" w:w="1060"/>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Nightly</w:t>
            </w:r>
          </w:p>
        </w:tc>
        <w:tc>
          <w:tcPr>
            <w:tcW w:type="dxa" w:w="1372"/>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CAD / mixed hyperlipidemia</w:t>
            </w:r>
          </w:p>
        </w:tc>
        <w:tc>
          <w:tcPr>
            <w:tcW w:type="dxa" w:w="686"/>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center"/>
            </w:pPr>
            <w:r/>
            <w:r>
              <w:rPr>
                <w:rFonts w:ascii="Arial" w:hAnsi="Arial"/>
                <w:b w:val="0"/>
                <w:i w:val="0"/>
                <w:sz w:val="17"/>
              </w:rPr>
              <w:t>Y</w:t>
            </w:r>
          </w:p>
        </w:tc>
        <w:tc>
          <w:tcPr>
            <w:tcW w:type="dxa" w:w="1372"/>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Patient; family; pharmacy fill history; primary care record</w:t>
            </w:r>
          </w:p>
        </w:tc>
        <w:tc>
          <w:tcPr>
            <w:tcW w:type="dxa" w:w="2182"/>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All four sources agree. Tablet identified in home bottle.</w:t>
            </w:r>
          </w:p>
        </w:tc>
      </w:tr>
      <w:tr>
        <w:tc>
          <w:tcPr>
            <w:tcW w:type="dxa" w:w="374"/>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center"/>
            </w:pPr>
            <w:r/>
            <w:r>
              <w:rPr>
                <w:rFonts w:ascii="Arial" w:hAnsi="Arial"/>
                <w:b w:val="0"/>
                <w:i w:val="0"/>
                <w:sz w:val="17"/>
              </w:rPr>
              <w:t>3</w:t>
            </w:r>
          </w:p>
        </w:tc>
        <w:tc>
          <w:tcPr>
            <w:tcW w:type="dxa" w:w="1434"/>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Sacubitril/valsartan</w:t>
            </w:r>
          </w:p>
        </w:tc>
        <w:tc>
          <w:tcPr>
            <w:tcW w:type="dxa" w:w="935"/>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24/26 mg</w:t>
            </w:r>
          </w:p>
        </w:tc>
        <w:tc>
          <w:tcPr>
            <w:tcW w:type="dxa" w:w="810"/>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Oral</w:t>
            </w:r>
          </w:p>
        </w:tc>
        <w:tc>
          <w:tcPr>
            <w:tcW w:type="dxa" w:w="1060"/>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BID</w:t>
            </w:r>
          </w:p>
        </w:tc>
        <w:tc>
          <w:tcPr>
            <w:tcW w:type="dxa" w:w="1372"/>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HFrEF guideline-directed therapy after ACE-inhibitor intolerance (lisinopril cough)</w:t>
            </w:r>
          </w:p>
        </w:tc>
        <w:tc>
          <w:tcPr>
            <w:tcW w:type="dxa" w:w="686"/>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center"/>
            </w:pPr>
            <w:r/>
            <w:r>
              <w:rPr>
                <w:rFonts w:ascii="Arial" w:hAnsi="Arial"/>
                <w:b w:val="0"/>
                <w:i w:val="0"/>
                <w:sz w:val="17"/>
              </w:rPr>
              <w:t>Y</w:t>
            </w:r>
          </w:p>
        </w:tc>
        <w:tc>
          <w:tcPr>
            <w:tcW w:type="dxa" w:w="1372"/>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Patient; family; pharmacy fill history; primary care record</w:t>
            </w:r>
          </w:p>
        </w:tc>
        <w:tc>
          <w:tcPr>
            <w:tcW w:type="dxa" w:w="2182"/>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Dose unchanged across last three fills per pharmacy. Family confirms morning and evening dosing. Inpatient hold status to be addressed by primary team, not this note.</w:t>
            </w:r>
          </w:p>
        </w:tc>
      </w:tr>
      <w:tr>
        <w:tc>
          <w:tcPr>
            <w:tcW w:type="dxa" w:w="374"/>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center"/>
            </w:pPr>
            <w:r/>
            <w:r>
              <w:rPr>
                <w:rFonts w:ascii="Arial" w:hAnsi="Arial"/>
                <w:b w:val="0"/>
                <w:i w:val="0"/>
                <w:sz w:val="17"/>
              </w:rPr>
              <w:t>4</w:t>
            </w:r>
          </w:p>
        </w:tc>
        <w:tc>
          <w:tcPr>
            <w:tcW w:type="dxa" w:w="1434"/>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Carvedilol 12.5 mg</w:t>
            </w:r>
          </w:p>
        </w:tc>
        <w:tc>
          <w:tcPr>
            <w:tcW w:type="dxa" w:w="935"/>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12.5 mg</w:t>
            </w:r>
          </w:p>
        </w:tc>
        <w:tc>
          <w:tcPr>
            <w:tcW w:type="dxa" w:w="810"/>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Oral</w:t>
            </w:r>
          </w:p>
        </w:tc>
        <w:tc>
          <w:tcPr>
            <w:tcW w:type="dxa" w:w="1060"/>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BID</w:t>
            </w:r>
          </w:p>
        </w:tc>
        <w:tc>
          <w:tcPr>
            <w:tcW w:type="dxa" w:w="1372"/>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HFrEF / CAD; hemodynamic-sensitive therapy</w:t>
            </w:r>
          </w:p>
        </w:tc>
        <w:tc>
          <w:tcPr>
            <w:tcW w:type="dxa" w:w="686"/>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center"/>
            </w:pPr>
            <w:r/>
            <w:r>
              <w:rPr>
                <w:rFonts w:ascii="Arial" w:hAnsi="Arial"/>
                <w:b w:val="0"/>
                <w:i w:val="0"/>
                <w:sz w:val="17"/>
              </w:rPr>
              <w:t>Y</w:t>
            </w:r>
          </w:p>
        </w:tc>
        <w:tc>
          <w:tcPr>
            <w:tcW w:type="dxa" w:w="1372"/>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Patient; family; pharmacy fill history; primary care record</w:t>
            </w:r>
          </w:p>
        </w:tc>
        <w:tc>
          <w:tcPr>
            <w:tcW w:type="dxa" w:w="2182"/>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All four sources agree. Family confirms paired with breakfast and dinner.</w:t>
            </w:r>
          </w:p>
        </w:tc>
      </w:tr>
      <w:tr>
        <w:tc>
          <w:tcPr>
            <w:tcW w:type="dxa" w:w="374"/>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center"/>
            </w:pPr>
            <w:r/>
            <w:r>
              <w:rPr>
                <w:rFonts w:ascii="Arial" w:hAnsi="Arial"/>
                <w:b w:val="0"/>
                <w:i w:val="0"/>
                <w:sz w:val="17"/>
              </w:rPr>
              <w:t>5</w:t>
            </w:r>
          </w:p>
        </w:tc>
        <w:tc>
          <w:tcPr>
            <w:tcW w:type="dxa" w:w="1434"/>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Furosemide 40 mg</w:t>
            </w:r>
          </w:p>
        </w:tc>
        <w:tc>
          <w:tcPr>
            <w:tcW w:type="dxa" w:w="935"/>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40 mg</w:t>
            </w:r>
          </w:p>
        </w:tc>
        <w:tc>
          <w:tcPr>
            <w:tcW w:type="dxa" w:w="810"/>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Oral</w:t>
            </w:r>
          </w:p>
        </w:tc>
        <w:tc>
          <w:tcPr>
            <w:tcW w:type="dxa" w:w="1060"/>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Daily</w:t>
            </w:r>
          </w:p>
        </w:tc>
        <w:tc>
          <w:tcPr>
            <w:tcW w:type="dxa" w:w="1372"/>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HFrEF volume management</w:t>
            </w:r>
          </w:p>
        </w:tc>
        <w:tc>
          <w:tcPr>
            <w:tcW w:type="dxa" w:w="686"/>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center"/>
            </w:pPr>
            <w:r/>
            <w:r>
              <w:rPr>
                <w:rFonts w:ascii="Arial" w:hAnsi="Arial"/>
                <w:b w:val="0"/>
                <w:i w:val="0"/>
                <w:sz w:val="17"/>
              </w:rPr>
              <w:t>Y</w:t>
            </w:r>
          </w:p>
        </w:tc>
        <w:tc>
          <w:tcPr>
            <w:tcW w:type="dxa" w:w="1372"/>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Patient; family; pharmacy fill history; primary care record</w:t>
            </w:r>
          </w:p>
        </w:tc>
        <w:tc>
          <w:tcPr>
            <w:tcW w:type="dxa" w:w="2182"/>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Morning dosing per family. No recent dose adjustment per primary care record.</w:t>
            </w:r>
          </w:p>
        </w:tc>
      </w:tr>
      <w:tr>
        <w:tc>
          <w:tcPr>
            <w:tcW w:type="dxa" w:w="374"/>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center"/>
            </w:pPr>
            <w:r/>
            <w:r>
              <w:rPr>
                <w:rFonts w:ascii="Arial" w:hAnsi="Arial"/>
                <w:b w:val="0"/>
                <w:i w:val="0"/>
                <w:sz w:val="17"/>
              </w:rPr>
              <w:t>6</w:t>
            </w:r>
          </w:p>
        </w:tc>
        <w:tc>
          <w:tcPr>
            <w:tcW w:type="dxa" w:w="1434"/>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Spironolactone 25 mg</w:t>
            </w:r>
          </w:p>
        </w:tc>
        <w:tc>
          <w:tcPr>
            <w:tcW w:type="dxa" w:w="935"/>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25 mg</w:t>
            </w:r>
          </w:p>
        </w:tc>
        <w:tc>
          <w:tcPr>
            <w:tcW w:type="dxa" w:w="810"/>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Oral</w:t>
            </w:r>
          </w:p>
        </w:tc>
        <w:tc>
          <w:tcPr>
            <w:tcW w:type="dxa" w:w="1060"/>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Daily</w:t>
            </w:r>
          </w:p>
        </w:tc>
        <w:tc>
          <w:tcPr>
            <w:tcW w:type="dxa" w:w="1372"/>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HFrEF mineralocorticoid antagonist; renal/potassium safety relevant</w:t>
            </w:r>
          </w:p>
        </w:tc>
        <w:tc>
          <w:tcPr>
            <w:tcW w:type="dxa" w:w="686"/>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center"/>
            </w:pPr>
            <w:r/>
            <w:r>
              <w:rPr>
                <w:rFonts w:ascii="Arial" w:hAnsi="Arial"/>
                <w:b w:val="0"/>
                <w:i w:val="0"/>
                <w:sz w:val="17"/>
              </w:rPr>
              <w:t>Y</w:t>
            </w:r>
          </w:p>
        </w:tc>
        <w:tc>
          <w:tcPr>
            <w:tcW w:type="dxa" w:w="1372"/>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Patient; family; pharmacy fill history; primary care record</w:t>
            </w:r>
          </w:p>
        </w:tc>
        <w:tc>
          <w:tcPr>
            <w:tcW w:type="dxa" w:w="2182"/>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All four sources agree. Pharmacy fill cadence consistent with daily use.</w:t>
            </w:r>
          </w:p>
        </w:tc>
      </w:tr>
      <w:tr>
        <w:tc>
          <w:tcPr>
            <w:tcW w:type="dxa" w:w="374"/>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center"/>
            </w:pPr>
            <w:r/>
            <w:r>
              <w:rPr>
                <w:rFonts w:ascii="Arial" w:hAnsi="Arial"/>
                <w:b w:val="0"/>
                <w:i w:val="0"/>
                <w:sz w:val="17"/>
              </w:rPr>
              <w:t>7</w:t>
            </w:r>
          </w:p>
        </w:tc>
        <w:tc>
          <w:tcPr>
            <w:tcW w:type="dxa" w:w="1434"/>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Empagliflozin 10 mg</w:t>
            </w:r>
          </w:p>
        </w:tc>
        <w:tc>
          <w:tcPr>
            <w:tcW w:type="dxa" w:w="935"/>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10 mg</w:t>
            </w:r>
          </w:p>
        </w:tc>
        <w:tc>
          <w:tcPr>
            <w:tcW w:type="dxa" w:w="810"/>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Oral</w:t>
            </w:r>
          </w:p>
        </w:tc>
        <w:tc>
          <w:tcPr>
            <w:tcW w:type="dxa" w:w="1060"/>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Daily</w:t>
            </w:r>
          </w:p>
        </w:tc>
        <w:tc>
          <w:tcPr>
            <w:tcW w:type="dxa" w:w="1372"/>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HFrEF / type 2 diabetes; SGLT2 inhibitor</w:t>
            </w:r>
          </w:p>
        </w:tc>
        <w:tc>
          <w:tcPr>
            <w:tcW w:type="dxa" w:w="686"/>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center"/>
            </w:pPr>
            <w:r/>
            <w:r>
              <w:rPr>
                <w:rFonts w:ascii="Arial" w:hAnsi="Arial"/>
                <w:b w:val="0"/>
                <w:i w:val="0"/>
                <w:sz w:val="17"/>
              </w:rPr>
              <w:t>Y</w:t>
            </w:r>
          </w:p>
        </w:tc>
        <w:tc>
          <w:tcPr>
            <w:tcW w:type="dxa" w:w="1372"/>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Patient; family; pharmacy fill history; primary care record</w:t>
            </w:r>
          </w:p>
        </w:tc>
        <w:tc>
          <w:tcPr>
            <w:tcW w:type="dxa" w:w="2182"/>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All four sources agree. Acute-illness handling deferred to primary team.</w:t>
            </w:r>
          </w:p>
        </w:tc>
      </w:tr>
      <w:tr>
        <w:tc>
          <w:tcPr>
            <w:tcW w:type="dxa" w:w="374"/>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center"/>
            </w:pPr>
            <w:r/>
            <w:r>
              <w:rPr>
                <w:rFonts w:ascii="Arial" w:hAnsi="Arial"/>
                <w:b w:val="0"/>
                <w:i w:val="0"/>
                <w:sz w:val="17"/>
              </w:rPr>
              <w:t>8</w:t>
            </w:r>
          </w:p>
        </w:tc>
        <w:tc>
          <w:tcPr>
            <w:tcW w:type="dxa" w:w="1434"/>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Metformin ER 500 mg</w:t>
            </w:r>
          </w:p>
        </w:tc>
        <w:tc>
          <w:tcPr>
            <w:tcW w:type="dxa" w:w="935"/>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500 mg</w:t>
            </w:r>
          </w:p>
        </w:tc>
        <w:tc>
          <w:tcPr>
            <w:tcW w:type="dxa" w:w="810"/>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Oral</w:t>
            </w:r>
          </w:p>
        </w:tc>
        <w:tc>
          <w:tcPr>
            <w:tcW w:type="dxa" w:w="1060"/>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BID</w:t>
            </w:r>
          </w:p>
        </w:tc>
        <w:tc>
          <w:tcPr>
            <w:tcW w:type="dxa" w:w="1372"/>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Type 2 diabetes mellitus</w:t>
            </w:r>
          </w:p>
        </w:tc>
        <w:tc>
          <w:tcPr>
            <w:tcW w:type="dxa" w:w="686"/>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center"/>
            </w:pPr>
            <w:r/>
            <w:r>
              <w:rPr>
                <w:rFonts w:ascii="Arial" w:hAnsi="Arial"/>
                <w:b w:val="0"/>
                <w:i w:val="0"/>
                <w:sz w:val="17"/>
              </w:rPr>
              <w:t>Y</w:t>
            </w:r>
          </w:p>
        </w:tc>
        <w:tc>
          <w:tcPr>
            <w:tcW w:type="dxa" w:w="1372"/>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Patient; family; pharmacy fill history; primary care record</w:t>
            </w:r>
          </w:p>
        </w:tc>
        <w:tc>
          <w:tcPr>
            <w:tcW w:type="dxa" w:w="2182"/>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Extended-release formulation confirmed on home bottle and pharmacy fill.</w:t>
            </w:r>
          </w:p>
        </w:tc>
      </w:tr>
      <w:tr>
        <w:tc>
          <w:tcPr>
            <w:tcW w:type="dxa" w:w="374"/>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center"/>
            </w:pPr>
            <w:r/>
            <w:r>
              <w:rPr>
                <w:rFonts w:ascii="Arial" w:hAnsi="Arial"/>
                <w:b w:val="0"/>
                <w:i w:val="0"/>
                <w:sz w:val="17"/>
              </w:rPr>
              <w:t>9</w:t>
            </w:r>
          </w:p>
        </w:tc>
        <w:tc>
          <w:tcPr>
            <w:tcW w:type="dxa" w:w="1434"/>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Insulin glargine 18 units</w:t>
            </w:r>
          </w:p>
        </w:tc>
        <w:tc>
          <w:tcPr>
            <w:tcW w:type="dxa" w:w="935"/>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18 units</w:t>
            </w:r>
          </w:p>
        </w:tc>
        <w:tc>
          <w:tcPr>
            <w:tcW w:type="dxa" w:w="810"/>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Subcutaneous</w:t>
            </w:r>
          </w:p>
        </w:tc>
        <w:tc>
          <w:tcPr>
            <w:tcW w:type="dxa" w:w="1060"/>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Nightly</w:t>
            </w:r>
          </w:p>
        </w:tc>
        <w:tc>
          <w:tcPr>
            <w:tcW w:type="dxa" w:w="1372"/>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Type 2 diabetes basal insulin</w:t>
            </w:r>
          </w:p>
        </w:tc>
        <w:tc>
          <w:tcPr>
            <w:tcW w:type="dxa" w:w="686"/>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center"/>
            </w:pPr>
            <w:r/>
            <w:r>
              <w:rPr>
                <w:rFonts w:ascii="Arial" w:hAnsi="Arial"/>
                <w:b w:val="0"/>
                <w:i w:val="0"/>
                <w:sz w:val="17"/>
              </w:rPr>
              <w:t>Y</w:t>
            </w:r>
          </w:p>
        </w:tc>
        <w:tc>
          <w:tcPr>
            <w:tcW w:type="dxa" w:w="1372"/>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Patient; family; pharmacy fill history; primary care record</w:t>
            </w:r>
          </w:p>
        </w:tc>
        <w:tc>
          <w:tcPr>
            <w:tcW w:type="dxa" w:w="2182"/>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Family confirms 18-unit nightly dose; pen device in home medication bag. Inpatient adjustment expected; not a reconciliation question.</w:t>
            </w:r>
          </w:p>
        </w:tc>
      </w:tr>
      <w:tr>
        <w:tc>
          <w:tcPr>
            <w:tcW w:type="dxa" w:w="374"/>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center"/>
            </w:pPr>
            <w:r/>
            <w:r>
              <w:rPr>
                <w:rFonts w:ascii="Arial" w:hAnsi="Arial"/>
                <w:b w:val="0"/>
                <w:i w:val="0"/>
                <w:sz w:val="17"/>
              </w:rPr>
              <w:t>10</w:t>
            </w:r>
          </w:p>
        </w:tc>
        <w:tc>
          <w:tcPr>
            <w:tcW w:type="dxa" w:w="1434"/>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Gabapentin 300 mg</w:t>
            </w:r>
          </w:p>
        </w:tc>
        <w:tc>
          <w:tcPr>
            <w:tcW w:type="dxa" w:w="935"/>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300 mg</w:t>
            </w:r>
          </w:p>
        </w:tc>
        <w:tc>
          <w:tcPr>
            <w:tcW w:type="dxa" w:w="810"/>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Oral</w:t>
            </w:r>
          </w:p>
        </w:tc>
        <w:tc>
          <w:tcPr>
            <w:tcW w:type="dxa" w:w="1060"/>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Nightly</w:t>
            </w:r>
          </w:p>
        </w:tc>
        <w:tc>
          <w:tcPr>
            <w:tcW w:type="dxa" w:w="1372"/>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Diabetic peripheral neuropathy</w:t>
            </w:r>
          </w:p>
        </w:tc>
        <w:tc>
          <w:tcPr>
            <w:tcW w:type="dxa" w:w="686"/>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center"/>
            </w:pPr>
            <w:r/>
            <w:r>
              <w:rPr>
                <w:rFonts w:ascii="Arial" w:hAnsi="Arial"/>
                <w:b w:val="0"/>
                <w:i w:val="0"/>
                <w:sz w:val="17"/>
              </w:rPr>
              <w:t>Y</w:t>
            </w:r>
          </w:p>
        </w:tc>
        <w:tc>
          <w:tcPr>
            <w:tcW w:type="dxa" w:w="1372"/>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Patient; family; pharmacy fill history; primary care record</w:t>
            </w:r>
          </w:p>
        </w:tc>
        <w:tc>
          <w:tcPr>
            <w:tcW w:type="dxa" w:w="2182"/>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All four sources agree on 300 mg nightly. Sedation / fall-risk reassessment is a clinical question, not a reconciliation discrepancy.</w:t>
            </w:r>
          </w:p>
        </w:tc>
      </w:tr>
      <w:tr>
        <w:tc>
          <w:tcPr>
            <w:tcW w:type="dxa" w:w="374"/>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center"/>
            </w:pPr>
            <w:r/>
            <w:r>
              <w:rPr>
                <w:rFonts w:ascii="Arial" w:hAnsi="Arial"/>
                <w:b w:val="0"/>
                <w:i w:val="0"/>
                <w:sz w:val="17"/>
              </w:rPr>
              <w:t>11</w:t>
            </w:r>
          </w:p>
        </w:tc>
        <w:tc>
          <w:tcPr>
            <w:tcW w:type="dxa" w:w="1434"/>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Ferrous sulfate</w:t>
            </w:r>
          </w:p>
        </w:tc>
        <w:tc>
          <w:tcPr>
            <w:tcW w:type="dxa" w:w="935"/>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325 mg</w:t>
            </w:r>
          </w:p>
        </w:tc>
        <w:tc>
          <w:tcPr>
            <w:tcW w:type="dxa" w:w="810"/>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Oral</w:t>
            </w:r>
          </w:p>
        </w:tc>
        <w:tc>
          <w:tcPr>
            <w:tcW w:type="dxa" w:w="1060"/>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Every other day</w:t>
            </w:r>
          </w:p>
        </w:tc>
        <w:tc>
          <w:tcPr>
            <w:tcW w:type="dxa" w:w="1372"/>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Anemia of chronic kidney disease</w:t>
            </w:r>
          </w:p>
        </w:tc>
        <w:tc>
          <w:tcPr>
            <w:tcW w:type="dxa" w:w="686"/>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center"/>
            </w:pPr>
            <w:r/>
            <w:r>
              <w:rPr>
                <w:rFonts w:ascii="Arial" w:hAnsi="Arial"/>
                <w:b w:val="0"/>
                <w:i w:val="0"/>
                <w:sz w:val="17"/>
              </w:rPr>
              <w:t>Y</w:t>
            </w:r>
          </w:p>
        </w:tc>
        <w:tc>
          <w:tcPr>
            <w:tcW w:type="dxa" w:w="1372"/>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Patient; family; pharmacy fill history; primary care record</w:t>
            </w:r>
          </w:p>
        </w:tc>
        <w:tc>
          <w:tcPr>
            <w:tcW w:type="dxa" w:w="2182"/>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Every-other-day schedule confirmed by family and consistent with pharmacy fill interval.</w:t>
            </w:r>
          </w:p>
        </w:tc>
      </w:tr>
      <w:tr>
        <w:tc>
          <w:tcPr>
            <w:tcW w:type="dxa" w:w="374"/>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center"/>
            </w:pPr>
            <w:r/>
            <w:r>
              <w:rPr>
                <w:rFonts w:ascii="Arial" w:hAnsi="Arial"/>
                <w:b w:val="0"/>
                <w:i w:val="0"/>
                <w:sz w:val="17"/>
              </w:rPr>
              <w:t>12</w:t>
            </w:r>
          </w:p>
        </w:tc>
        <w:tc>
          <w:tcPr>
            <w:tcW w:type="dxa" w:w="1434"/>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Alendronate</w:t>
            </w:r>
          </w:p>
        </w:tc>
        <w:tc>
          <w:tcPr>
            <w:tcW w:type="dxa" w:w="935"/>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70 mg</w:t>
            </w:r>
          </w:p>
        </w:tc>
        <w:tc>
          <w:tcPr>
            <w:tcW w:type="dxa" w:w="810"/>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Oral</w:t>
            </w:r>
          </w:p>
        </w:tc>
        <w:tc>
          <w:tcPr>
            <w:tcW w:type="dxa" w:w="1060"/>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Weekly (Sunday morning per family)</w:t>
            </w:r>
          </w:p>
        </w:tc>
        <w:tc>
          <w:tcPr>
            <w:tcW w:type="dxa" w:w="1372"/>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Steroid-related osteoporosis / osteopenia</w:t>
            </w:r>
          </w:p>
        </w:tc>
        <w:tc>
          <w:tcPr>
            <w:tcW w:type="dxa" w:w="686"/>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center"/>
            </w:pPr>
            <w:r/>
            <w:r>
              <w:rPr>
                <w:rFonts w:ascii="Arial" w:hAnsi="Arial"/>
                <w:b w:val="0"/>
                <w:i w:val="0"/>
                <w:sz w:val="17"/>
              </w:rPr>
              <w:t>Y</w:t>
            </w:r>
          </w:p>
        </w:tc>
        <w:tc>
          <w:tcPr>
            <w:tcW w:type="dxa" w:w="1372"/>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Patient; family; pharmacy fill history; primary care record</w:t>
            </w:r>
          </w:p>
        </w:tc>
        <w:tc>
          <w:tcPr>
            <w:tcW w:type="dxa" w:w="2182"/>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Weekly dosing day confirmed by family. Pharmacy fill cadence consistent.</w:t>
            </w:r>
          </w:p>
        </w:tc>
      </w:tr>
      <w:tr>
        <w:tc>
          <w:tcPr>
            <w:tcW w:type="dxa" w:w="374"/>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center"/>
            </w:pPr>
            <w:r/>
            <w:r>
              <w:rPr>
                <w:rFonts w:ascii="Arial" w:hAnsi="Arial"/>
                <w:b w:val="0"/>
                <w:i w:val="0"/>
                <w:sz w:val="17"/>
              </w:rPr>
              <w:t>13</w:t>
            </w:r>
          </w:p>
        </w:tc>
        <w:tc>
          <w:tcPr>
            <w:tcW w:type="dxa" w:w="1434"/>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Prednisone</w:t>
            </w:r>
          </w:p>
        </w:tc>
        <w:tc>
          <w:tcPr>
            <w:tcW w:type="dxa" w:w="935"/>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See notes — no numeric dose asserted by this reconciliation</w:t>
            </w:r>
          </w:p>
        </w:tc>
        <w:tc>
          <w:tcPr>
            <w:tcW w:type="dxa" w:w="810"/>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Oral</w:t>
            </w:r>
          </w:p>
        </w:tc>
        <w:tc>
          <w:tcPr>
            <w:tcW w:type="dxa" w:w="1060"/>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Reported tapering schedule; current frequency unclear</w:t>
            </w:r>
          </w:p>
        </w:tc>
        <w:tc>
          <w:tcPr>
            <w:tcW w:type="dxa" w:w="1372"/>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Polymyalgia rheumatica</w:t>
            </w:r>
          </w:p>
        </w:tc>
        <w:tc>
          <w:tcPr>
            <w:tcW w:type="dxa" w:w="686"/>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center"/>
            </w:pPr>
            <w:r/>
            <w:r>
              <w:rPr>
                <w:rFonts w:ascii="Arial" w:hAnsi="Arial"/>
                <w:b w:val="0"/>
                <w:i w:val="0"/>
                <w:sz w:val="17"/>
              </w:rPr>
              <w:t>N</w:t>
            </w:r>
          </w:p>
        </w:tc>
        <w:tc>
          <w:tcPr>
            <w:tcW w:type="dxa" w:w="1372"/>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Patient (limited); family (limited); pharmacy fill history (conflicting across fills); primary care record (refers to outpatient rheumatology)</w:t>
            </w:r>
          </w:p>
        </w:tc>
        <w:tc>
          <w:tcPr>
            <w:tcW w:type="dxa" w:w="2182"/>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Dose NOT VERIFIED at this time. Patient reports tapering, family unsure if bottle directions match actual use, pharmacy fill history shows multiple strengths and changing directions across recent fills. Outpatient rheumatology (Dr. Halvek) review pending. Inpatient interim plan deferred pending source reconstruction.</w:t>
            </w:r>
          </w:p>
        </w:tc>
      </w:tr>
      <w:tr>
        <w:tc>
          <w:tcPr>
            <w:tcW w:type="dxa" w:w="374"/>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center"/>
            </w:pPr>
            <w:r/>
            <w:r>
              <w:rPr>
                <w:rFonts w:ascii="Arial" w:hAnsi="Arial"/>
                <w:b w:val="0"/>
                <w:i w:val="0"/>
                <w:sz w:val="17"/>
              </w:rPr>
              <w:t>14</w:t>
            </w:r>
          </w:p>
        </w:tc>
        <w:tc>
          <w:tcPr>
            <w:tcW w:type="dxa" w:w="1434"/>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Calcium carbonate / vitamin D</w:t>
            </w:r>
          </w:p>
        </w:tc>
        <w:tc>
          <w:tcPr>
            <w:tcW w:type="dxa" w:w="935"/>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600 mg / 400 IU</w:t>
            </w:r>
          </w:p>
        </w:tc>
        <w:tc>
          <w:tcPr>
            <w:tcW w:type="dxa" w:w="810"/>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Oral</w:t>
            </w:r>
          </w:p>
        </w:tc>
        <w:tc>
          <w:tcPr>
            <w:tcW w:type="dxa" w:w="1060"/>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BID</w:t>
            </w:r>
          </w:p>
        </w:tc>
        <w:tc>
          <w:tcPr>
            <w:tcW w:type="dxa" w:w="1372"/>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Bone health support with chronic steroid exposure</w:t>
            </w:r>
          </w:p>
        </w:tc>
        <w:tc>
          <w:tcPr>
            <w:tcW w:type="dxa" w:w="686"/>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center"/>
            </w:pPr>
            <w:r/>
            <w:r>
              <w:rPr>
                <w:rFonts w:ascii="Arial" w:hAnsi="Arial"/>
                <w:b w:val="0"/>
                <w:i w:val="0"/>
                <w:sz w:val="17"/>
              </w:rPr>
              <w:t>Y</w:t>
            </w:r>
          </w:p>
        </w:tc>
        <w:tc>
          <w:tcPr>
            <w:tcW w:type="dxa" w:w="1372"/>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Patient; family; pharmacy fill history; primary care record</w:t>
            </w:r>
          </w:p>
        </w:tc>
        <w:tc>
          <w:tcPr>
            <w:tcW w:type="dxa" w:w="2182"/>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OTC combination product; bottle in home medication bag matches active list.</w:t>
            </w:r>
          </w:p>
        </w:tc>
      </w:tr>
      <w:tr>
        <w:tc>
          <w:tcPr>
            <w:tcW w:type="dxa" w:w="374"/>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center"/>
            </w:pPr>
            <w:r/>
            <w:r>
              <w:rPr>
                <w:rFonts w:ascii="Arial" w:hAnsi="Arial"/>
                <w:b w:val="0"/>
                <w:i w:val="0"/>
                <w:sz w:val="17"/>
              </w:rPr>
              <w:t>15</w:t>
            </w:r>
          </w:p>
        </w:tc>
        <w:tc>
          <w:tcPr>
            <w:tcW w:type="dxa" w:w="1434"/>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Nitroglycerin 0.4 mg</w:t>
            </w:r>
          </w:p>
        </w:tc>
        <w:tc>
          <w:tcPr>
            <w:tcW w:type="dxa" w:w="935"/>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0.4 mg</w:t>
            </w:r>
          </w:p>
        </w:tc>
        <w:tc>
          <w:tcPr>
            <w:tcW w:type="dxa" w:w="810"/>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Sublingual</w:t>
            </w:r>
          </w:p>
        </w:tc>
        <w:tc>
          <w:tcPr>
            <w:tcW w:type="dxa" w:w="1060"/>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PRN chest pain</w:t>
            </w:r>
          </w:p>
        </w:tc>
        <w:tc>
          <w:tcPr>
            <w:tcW w:type="dxa" w:w="1372"/>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CAD angina rescue medication</w:t>
            </w:r>
          </w:p>
        </w:tc>
        <w:tc>
          <w:tcPr>
            <w:tcW w:type="dxa" w:w="686"/>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center"/>
            </w:pPr>
            <w:r/>
            <w:r>
              <w:rPr>
                <w:rFonts w:ascii="Arial" w:hAnsi="Arial"/>
                <w:b w:val="0"/>
                <w:i w:val="0"/>
                <w:sz w:val="17"/>
              </w:rPr>
              <w:t>Y</w:t>
            </w:r>
          </w:p>
        </w:tc>
        <w:tc>
          <w:tcPr>
            <w:tcW w:type="dxa" w:w="1372"/>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Patient; family; pharmacy fill history; primary care record</w:t>
            </w:r>
          </w:p>
        </w:tc>
        <w:tc>
          <w:tcPr>
            <w:tcW w:type="dxa" w:w="2182"/>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Patient describes correct as-needed use; no recent uses reported by family. Rescue only; not routine daily therapy.</w:t>
            </w:r>
          </w:p>
        </w:tc>
      </w:tr>
      <w:tr>
        <w:tc>
          <w:tcPr>
            <w:tcW w:type="dxa" w:w="374"/>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center"/>
            </w:pPr>
            <w:r/>
            <w:r>
              <w:rPr>
                <w:rFonts w:ascii="Arial" w:hAnsi="Arial"/>
                <w:b w:val="0"/>
                <w:i w:val="0"/>
                <w:sz w:val="17"/>
              </w:rPr>
              <w:t>16</w:t>
            </w:r>
          </w:p>
        </w:tc>
        <w:tc>
          <w:tcPr>
            <w:tcW w:type="dxa" w:w="1434"/>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Acetaminophen</w:t>
            </w:r>
          </w:p>
        </w:tc>
        <w:tc>
          <w:tcPr>
            <w:tcW w:type="dxa" w:w="935"/>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650 mg</w:t>
            </w:r>
          </w:p>
        </w:tc>
        <w:tc>
          <w:tcPr>
            <w:tcW w:type="dxa" w:w="810"/>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Oral</w:t>
            </w:r>
          </w:p>
        </w:tc>
        <w:tc>
          <w:tcPr>
            <w:tcW w:type="dxa" w:w="1060"/>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q6h PRN</w:t>
            </w:r>
          </w:p>
        </w:tc>
        <w:tc>
          <w:tcPr>
            <w:tcW w:type="dxa" w:w="1372"/>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Pain / musculoskeletal symptom support</w:t>
            </w:r>
          </w:p>
        </w:tc>
        <w:tc>
          <w:tcPr>
            <w:tcW w:type="dxa" w:w="686"/>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center"/>
            </w:pPr>
            <w:r/>
            <w:r>
              <w:rPr>
                <w:rFonts w:ascii="Arial" w:hAnsi="Arial"/>
                <w:b w:val="0"/>
                <w:i w:val="0"/>
                <w:sz w:val="17"/>
              </w:rPr>
              <w:t>Y</w:t>
            </w:r>
          </w:p>
        </w:tc>
        <w:tc>
          <w:tcPr>
            <w:tcW w:type="dxa" w:w="1372"/>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Patient; family; pharmacy fill history; primary care record</w:t>
            </w:r>
          </w:p>
        </w:tc>
        <w:tc>
          <w:tcPr>
            <w:tcW w:type="dxa" w:w="2182"/>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OTC; family confirms intermittent use.</w:t>
            </w:r>
          </w:p>
        </w:tc>
      </w:tr>
      <w:tr>
        <w:tc>
          <w:tcPr>
            <w:tcW w:type="dxa" w:w="374"/>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center"/>
            </w:pPr>
            <w:r/>
            <w:r>
              <w:rPr>
                <w:rFonts w:ascii="Arial" w:hAnsi="Arial"/>
                <w:b w:val="0"/>
                <w:i w:val="0"/>
                <w:sz w:val="17"/>
              </w:rPr>
              <w:t>17</w:t>
            </w:r>
          </w:p>
        </w:tc>
        <w:tc>
          <w:tcPr>
            <w:tcW w:type="dxa" w:w="1434"/>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Pantoprazole 40 mg</w:t>
            </w:r>
          </w:p>
        </w:tc>
        <w:tc>
          <w:tcPr>
            <w:tcW w:type="dxa" w:w="935"/>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40 mg</w:t>
            </w:r>
          </w:p>
        </w:tc>
        <w:tc>
          <w:tcPr>
            <w:tcW w:type="dxa" w:w="810"/>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Oral</w:t>
            </w:r>
          </w:p>
        </w:tc>
        <w:tc>
          <w:tcPr>
            <w:tcW w:type="dxa" w:w="1060"/>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Daily</w:t>
            </w:r>
          </w:p>
        </w:tc>
        <w:tc>
          <w:tcPr>
            <w:tcW w:type="dxa" w:w="1372"/>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Chronic GERD</w:t>
            </w:r>
          </w:p>
        </w:tc>
        <w:tc>
          <w:tcPr>
            <w:tcW w:type="dxa" w:w="686"/>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center"/>
            </w:pPr>
            <w:r/>
            <w:r>
              <w:rPr>
                <w:rFonts w:ascii="Arial" w:hAnsi="Arial"/>
                <w:b w:val="0"/>
                <w:i w:val="0"/>
                <w:sz w:val="17"/>
              </w:rPr>
              <w:t>Y</w:t>
            </w:r>
          </w:p>
        </w:tc>
        <w:tc>
          <w:tcPr>
            <w:tcW w:type="dxa" w:w="1372"/>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Patient; family; pharmacy fill history; primary care record</w:t>
            </w:r>
          </w:p>
        </w:tc>
        <w:tc>
          <w:tcPr>
            <w:tcW w:type="dxa" w:w="2182"/>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All four sources agree. Long-standing therapy.</w:t>
            </w:r>
          </w:p>
        </w:tc>
      </w:tr>
      <w:tr>
        <w:tc>
          <w:tcPr>
            <w:tcW w:type="dxa" w:w="374"/>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center"/>
            </w:pPr>
            <w:r/>
            <w:r>
              <w:rPr>
                <w:rFonts w:ascii="Arial" w:hAnsi="Arial"/>
                <w:b w:val="0"/>
                <w:i w:val="0"/>
                <w:sz w:val="17"/>
              </w:rPr>
              <w:t>18</w:t>
            </w:r>
          </w:p>
        </w:tc>
        <w:tc>
          <w:tcPr>
            <w:tcW w:type="dxa" w:w="1434"/>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PEG 3350</w:t>
            </w:r>
          </w:p>
        </w:tc>
        <w:tc>
          <w:tcPr>
            <w:tcW w:type="dxa" w:w="935"/>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17 g</w:t>
            </w:r>
          </w:p>
        </w:tc>
        <w:tc>
          <w:tcPr>
            <w:tcW w:type="dxa" w:w="810"/>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Oral</w:t>
            </w:r>
          </w:p>
        </w:tc>
        <w:tc>
          <w:tcPr>
            <w:tcW w:type="dxa" w:w="1060"/>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Daily PRN</w:t>
            </w:r>
          </w:p>
        </w:tc>
        <w:tc>
          <w:tcPr>
            <w:tcW w:type="dxa" w:w="1372"/>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Constipation tendency / bowel regimen support</w:t>
            </w:r>
          </w:p>
        </w:tc>
        <w:tc>
          <w:tcPr>
            <w:tcW w:type="dxa" w:w="686"/>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center"/>
            </w:pPr>
            <w:r/>
            <w:r>
              <w:rPr>
                <w:rFonts w:ascii="Arial" w:hAnsi="Arial"/>
                <w:b w:val="0"/>
                <w:i w:val="0"/>
                <w:sz w:val="17"/>
              </w:rPr>
              <w:t>Y</w:t>
            </w:r>
          </w:p>
        </w:tc>
        <w:tc>
          <w:tcPr>
            <w:tcW w:type="dxa" w:w="1372"/>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Patient; family; pharmacy fill history; primary care record</w:t>
            </w:r>
          </w:p>
        </w:tc>
        <w:tc>
          <w:tcPr>
            <w:tcW w:type="dxa" w:w="2182"/>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OTC; family confirms PRN pattern.</w:t>
            </w:r>
          </w:p>
        </w:tc>
      </w:tr>
      <w:tr>
        <w:tc>
          <w:tcPr>
            <w:tcW w:type="dxa" w:w="374"/>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center"/>
            </w:pPr>
            <w:r/>
            <w:r>
              <w:rPr>
                <w:rFonts w:ascii="Arial" w:hAnsi="Arial"/>
                <w:b w:val="0"/>
                <w:i w:val="0"/>
                <w:sz w:val="17"/>
              </w:rPr>
              <w:t>19</w:t>
            </w:r>
          </w:p>
        </w:tc>
        <w:tc>
          <w:tcPr>
            <w:tcW w:type="dxa" w:w="1434"/>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Senna</w:t>
            </w:r>
          </w:p>
        </w:tc>
        <w:tc>
          <w:tcPr>
            <w:tcW w:type="dxa" w:w="935"/>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8.6 mg</w:t>
            </w:r>
          </w:p>
        </w:tc>
        <w:tc>
          <w:tcPr>
            <w:tcW w:type="dxa" w:w="810"/>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Oral</w:t>
            </w:r>
          </w:p>
        </w:tc>
        <w:tc>
          <w:tcPr>
            <w:tcW w:type="dxa" w:w="1060"/>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Nightly PRN</w:t>
            </w:r>
          </w:p>
        </w:tc>
        <w:tc>
          <w:tcPr>
            <w:tcW w:type="dxa" w:w="1372"/>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Constipation tendency / bowel regimen support</w:t>
            </w:r>
          </w:p>
        </w:tc>
        <w:tc>
          <w:tcPr>
            <w:tcW w:type="dxa" w:w="686"/>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center"/>
            </w:pPr>
            <w:r/>
            <w:r>
              <w:rPr>
                <w:rFonts w:ascii="Arial" w:hAnsi="Arial"/>
                <w:b w:val="0"/>
                <w:i w:val="0"/>
                <w:sz w:val="17"/>
              </w:rPr>
              <w:t>Y</w:t>
            </w:r>
          </w:p>
        </w:tc>
        <w:tc>
          <w:tcPr>
            <w:tcW w:type="dxa" w:w="1372"/>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Patient; family; pharmacy fill history; primary care record</w:t>
            </w:r>
          </w:p>
        </w:tc>
        <w:tc>
          <w:tcPr>
            <w:tcW w:type="dxa" w:w="2182"/>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OTC; family confirms PRN pattern; sometimes paired with PEG on harder days.</w:t>
            </w:r>
          </w:p>
        </w:tc>
      </w:tr>
    </w:tbl>
    <w:p>
      <w:pPr>
        <w:spacing w:before="160" w:after="60"/>
        <w:pBdr>
          <w:bottom w:val="single" w:sz="6" w:space="1" w:color="B9BEC4"/>
        </w:pBdr>
      </w:pPr>
      <w:r>
        <w:rPr>
          <w:rFonts w:ascii="Arial" w:hAnsi="Arial"/>
          <w:b/>
          <w:sz w:val="21"/>
        </w:rPr>
        <w:t>PREDNISONE PROVENANCE — DETAIL</w:t>
      </w:r>
    </w:p>
    <w:p>
      <w:pPr>
        <w:spacing w:after="80" w:before="0"/>
      </w:pPr>
      <w:r>
        <w:rPr>
          <w:rFonts w:ascii="Arial" w:hAnsi="Arial"/>
          <w:i w:val="0"/>
          <w:sz w:val="20"/>
        </w:rPr>
        <w:t>Dose NOT VERIFIED at this time. Patient reports tapering, family unsure if bottle directions match actual use, pharmacy fill history shows multiple strengths and changing directions across recent fills. Outpatient rheumatology (Dr. Halvek) review pending. Inpatient interim plan deferred pending source reconstruction.</w:t>
      </w:r>
    </w:p>
    <w:p>
      <w:pPr>
        <w:spacing w:after="40" w:before="40"/>
      </w:pPr>
      <w:r>
        <w:rPr>
          <w:rFonts w:ascii="Arial" w:hAnsi="Arial"/>
          <w:i w:val="0"/>
          <w:sz w:val="20"/>
        </w:rPr>
        <w:t>Documented inputs at this hospital day:</w:t>
      </w:r>
    </w:p>
    <w:p>
      <w:pPr>
        <w:pStyle w:val="ListBullet"/>
        <w:spacing w:after="20" w:before="0"/>
        <w:ind w:left="360"/>
      </w:pPr>
      <w:r/>
      <w:r>
        <w:rPr>
          <w:rFonts w:ascii="Arial" w:hAnsi="Arial"/>
          <w:sz w:val="20"/>
        </w:rPr>
        <w:t>Patient at bedside: variably states he is “still on a little prednisone” and “might have been tapering off”; cannot name the current strength or the intended taper schedule with confidence; uncertain whether he has been consistent in the days leading up to admission.</w:t>
      </w:r>
    </w:p>
    <w:p>
      <w:pPr>
        <w:pStyle w:val="ListBullet"/>
        <w:spacing w:after="20" w:before="0"/>
        <w:ind w:left="360"/>
      </w:pPr>
      <w:r/>
      <w:r>
        <w:rPr>
          <w:rFonts w:ascii="Arial" w:hAnsi="Arial"/>
          <w:sz w:val="20"/>
        </w:rPr>
        <w:t>Family (Mara Merrow): confirms the rheumatology plan was understood to be a taper because PMR symptoms had been controlled; reports the bottle directions and what Korvin was actually taking may not match; recalls seeing more than one instruction set on bottles or paperwork; not able to reconstruct day-by-day adherence over the past one to two weeks given recent fatigue and medication-management mistakes.</w:t>
      </w:r>
    </w:p>
    <w:p>
      <w:pPr>
        <w:pStyle w:val="ListBullet"/>
        <w:spacing w:after="20" w:before="0"/>
        <w:ind w:left="360"/>
      </w:pPr>
      <w:r/>
      <w:r>
        <w:rPr>
          <w:rFonts w:ascii="Arial" w:hAnsi="Arial"/>
          <w:sz w:val="20"/>
        </w:rPr>
        <w:t>Pharmacy refill history (Harbor Crest Community Pharmacy): multiple prednisone fills across the past several months at more than one tablet strength, with directions that have changed across fills consistent with a taper trajectory; cannot establish what was actually taken at home in the days before admission.</w:t>
      </w:r>
    </w:p>
    <w:p>
      <w:pPr>
        <w:pStyle w:val="ListBullet"/>
        <w:spacing w:after="20" w:before="0"/>
        <w:ind w:left="360"/>
      </w:pPr>
      <w:r/>
      <w:r>
        <w:rPr>
          <w:rFonts w:ascii="Arial" w:hAnsi="Arial"/>
          <w:sz w:val="20"/>
        </w:rPr>
        <w:t>Primary care record (Dr. Talia Quenor): defers prednisone dosing detail to outpatient rheumatology; medication list flag indicates “see rheumatology for current taper.”</w:t>
      </w:r>
    </w:p>
    <w:p>
      <w:pPr>
        <w:pStyle w:val="ListBullet"/>
        <w:spacing w:after="20" w:before="0"/>
        <w:ind w:left="360"/>
      </w:pPr>
      <w:r/>
      <w:r>
        <w:rPr>
          <w:rFonts w:ascii="Arial" w:hAnsi="Arial"/>
          <w:sz w:val="20"/>
        </w:rPr>
        <w:t>Outpatient rheumatology (Dr. Soren Halvek, Riverbend Rheumatology Associates): chart review pending; provenance expected to be available later in the hospitalization. No numeric current dose is being asserted by this reconciliation.</w:t>
      </w:r>
    </w:p>
    <w:p>
      <w:pPr>
        <w:spacing w:before="160" w:after="60"/>
        <w:pBdr>
          <w:bottom w:val="single" w:sz="6" w:space="1" w:color="B9BEC4"/>
        </w:pBdr>
      </w:pPr>
      <w:r>
        <w:rPr>
          <w:rFonts w:ascii="Arial" w:hAnsi="Arial"/>
          <w:b/>
          <w:sz w:val="21"/>
        </w:rPr>
        <w:t>SOURCE RELIABILITY — OTHER ITEMS</w:t>
      </w:r>
    </w:p>
    <w:p>
      <w:pPr>
        <w:spacing w:after="80" w:before="0"/>
      </w:pPr>
      <w:r>
        <w:rPr>
          <w:rFonts w:ascii="Arial" w:hAnsi="Arial"/>
          <w:i w:val="0"/>
          <w:sz w:val="20"/>
        </w:rPr>
        <w:t>For the eighteen non-prednisone medications above, identity, dose, route, and frequency agree across patient report, family report, pharmacy refill history, and the primary care active medication list. No discrepancies requiring resolution were identified for those items at this hospital day. Recent medication-management mistakes reported at home (a missed evening dose on one day, an apparent double-up on another, and inconsistency around prednisone timing) reflect adherence concerns rather than reconciliation discrepancies on these items.</w:t>
      </w:r>
    </w:p>
    <w:p>
      <w:pPr>
        <w:spacing w:before="160" w:after="60"/>
        <w:pBdr>
          <w:bottom w:val="single" w:sz="6" w:space="1" w:color="B9BEC4"/>
        </w:pBdr>
      </w:pPr>
      <w:r>
        <w:t>SCOPE OF THIS RECONCILIATION</w:t>
      </w:r>
    </w:p>
    <w:p>
      <w:pPr>
        <w:spacing w:after="80" w:before="0"/>
      </w:pPr>
      <w:r>
        <w:t>This table covers verified home medications only; inpatient-specific orders are documented on the inpatient MAR.</w:t>
      </w:r>
    </w:p>
    <w:p>
      <w:pPr>
        <w:spacing w:before="160" w:after="60"/>
        <w:pBdr>
          <w:bottom w:val="single" w:sz="6" w:space="1" w:color="B9BEC4"/>
        </w:pBdr>
      </w:pPr>
      <w:r>
        <w:rPr>
          <w:rFonts w:ascii="Arial" w:hAnsi="Arial"/>
          <w:b/>
          <w:sz w:val="21"/>
        </w:rPr>
        <w:t>PHARMACIST SUMMARY</w:t>
      </w:r>
    </w:p>
    <w:p>
      <w:pPr>
        <w:spacing w:after="120" w:before="0"/>
      </w:pPr>
      <w:r>
        <w:t>Eighteen of the nineteen baseline home medications have been reconciled with full agreement across patient, family, pharmacy refill history, and primary care record. One item — prednisone — has discrepancies pending resolution and is flagged as the highest-priority reconciliation item for this admission. No numeric current prednisone dose is being asserted by this note; source reconstruction will proceed once outpatient rheumatology (Dr. Halvek) records are available for review, to be considered alongside pharmacy refill history, family collateral, and patient recollection. Family caregiver oversight (Mara Merrow, wife / primary caregiver / healthcare proxy) is noted as a baseline-informed source and active participant in this reconciliation; her observations about recent home administration are documented and will be revisited as outpatient documentation becomes available. The primary team and consultants are responsible for determining which medications to hold, continue, adjust, or restart during this hospitalization; this note does not make those determinations.</w:t>
      </w:r>
    </w:p>
    <w:p>
      <w:pPr>
        <w:spacing w:before="120" w:after="40"/>
      </w:pPr>
      <w:r>
        <w:rPr>
          <w:rFonts w:ascii="Arial" w:hAnsi="Arial"/>
          <w:i/>
          <w:color w:val="5E6670"/>
          <w:sz w:val="18"/>
        </w:rPr>
        <w:t>Electronically signed by Ezekiel Marlott, PharmD, BCPS  |  Inpatient Pharmacy  |  Mercy Vale Regional Medical Center  |  05/18/2026</w:t>
      </w:r>
    </w:p>
    <w:p>
      <w:pPr>
        <w:spacing w:after="40"/>
      </w:pPr>
    </w:p>
    <w:sectPr w:rsidR="00FC693F" w:rsidRPr="0006063C" w:rsidSect="00034616">
      <w:headerReference w:type="default" r:id="rId9"/>
      <w:footerReference w:type="default" r:id="rId10"/>
      <w:headerReference w:type="even" r:id="rId11"/>
      <w:footerReference w:type="even" r:id="rId12"/>
      <w:headerReference w:type="first" r:id="rId13"/>
      <w:footerReference w:type="first" r:id="rId14"/>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color w:val="5E6670"/>
        <w:sz w:val="15"/>
      </w:rPr>
      <w:t>Mercy Vale Regional Medical Center  |  Initial medication reconciliation note  |  Synthetic training document</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b w:val="0"/>
        <w:i w:val="0"/>
        <w:color w:val="5E6670"/>
        <w:sz w:val="15"/>
      </w:rPr>
      <w:t>Korvin Merrow  |  MRN KM-6427819  |  DOB 02/18/1964</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