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8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3864"/>
                <w:sz w:val="26"/>
              </w:rPr>
              <w:t>MERCY VALE REGIONAL MEDICAL CENTER</w:t>
            </w:r>
          </w:p>
          <w:p>
            <w:pPr>
              <w:spacing w:after="0"/>
            </w:pPr>
            <w:r>
              <w:rPr>
                <w:rFonts w:ascii="Arial" w:hAnsi="Arial"/>
                <w:color w:val="232830"/>
                <w:sz w:val="19"/>
              </w:rPr>
              <w:t>Rehabilitation Services — Physical Therapy</w:t>
            </w:r>
          </w:p>
          <w:p>
            <w:pPr>
              <w:spacing w:after="0"/>
            </w:pPr>
            <w:r>
              <w:rPr>
                <w:rFonts w:ascii="Arial" w:hAnsi="Arial"/>
                <w:color w:val="5E6670"/>
                <w:sz w:val="17"/>
              </w:rPr>
              <w:t>5 Harbor Crest Way, Bridgehollow, PA 15211  |  (412) 555-0181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i/>
                <w:color w:val="5E6670"/>
                <w:sz w:val="18"/>
              </w:rPr>
              <w:t>Confidential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5E6670"/>
                <w:sz w:val="17"/>
              </w:rPr>
              <w:t>Document: Physical Therapy Assessment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nil"/>
              <w:left w:val="nil"/>
              <w:right w:val="nil"/>
              <w:bottom w:val="single" w:sz="4" w:color="B0B4BA"/>
            </w:tcBorders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p>
      <w:pPr>
        <w:spacing w:before="40" w:after="20"/>
      </w:pPr>
      <w:r>
        <w:rPr>
          <w:rFonts w:ascii="Arial" w:hAnsi="Arial"/>
          <w:b/>
          <w:i w:val="0"/>
          <w:color w:val="1F3864"/>
          <w:sz w:val="28"/>
        </w:rPr>
        <w:t>PHYSICAL THERAPY ASSESSMENT</w:t>
      </w:r>
    </w:p>
    <w:p>
      <w:pPr>
        <w:spacing w:before="0" w:after="80"/>
      </w:pPr>
      <w:r>
        <w:t>Author: Renna Volkos, DPT  |  Department: Rehabilitation Services  |  Initial Assessment 05/20/2026 (HD3)  |  Interval Update 05/22/2026 (HD5)  |  Status: Signed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3864"/>
                <w:sz w:val="24"/>
              </w:rPr>
              <w:t>KORVIN MERROW</w:t>
            </w:r>
            <w:r>
              <w:rPr>
                <w:rFonts w:ascii="Arial" w:hAnsi="Arial"/>
                <w:color w:val="232830"/>
                <w:sz w:val="19"/>
              </w:rPr>
              <w:t xml:space="preserve">    62 y  |  Male  |  DOB 02/18/1964</w:t>
            </w:r>
          </w:p>
        </w:tc>
        <w:tc>
          <w:tcPr>
            <w:tcW w:type="dxa" w:w="2592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232830"/>
                <w:sz w:val="19"/>
              </w:rPr>
              <w:t>MRN  KM-6427819</w:t>
            </w:r>
          </w:p>
        </w:tc>
      </w:tr>
      <w:tr>
        <w:tc>
          <w:tcPr>
            <w:tcW w:type="dxa" w:w="2592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E6670"/>
                <w:sz w:val="15"/>
              </w:rPr>
              <w:t>Date / Anchor</w:t>
            </w:r>
          </w:p>
          <w:p>
            <w:pPr>
              <w:spacing w:after="0"/>
            </w:pPr>
            <w:r>
              <w:t>HD3 05/20/2026, HD5 update 05/22/2026</w:t>
            </w:r>
          </w:p>
        </w:tc>
        <w:tc>
          <w:tcPr>
            <w:tcW w:type="dxa" w:w="2592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E6670"/>
                <w:sz w:val="15"/>
              </w:rPr>
              <w:t>Author</w:t>
            </w:r>
          </w:p>
          <w:p>
            <w:pPr>
              <w:spacing w:after="0"/>
            </w:pPr>
            <w:r>
              <w:rPr>
                <w:rFonts w:ascii="Arial" w:hAnsi="Arial"/>
                <w:color w:val="232830"/>
                <w:sz w:val="18"/>
              </w:rPr>
              <w:t>Renna Volkos, DPT</w:t>
            </w:r>
          </w:p>
        </w:tc>
        <w:tc>
          <w:tcPr>
            <w:tcW w:type="dxa" w:w="2592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E6670"/>
                <w:sz w:val="15"/>
              </w:rPr>
              <w:t>Allergies</w:t>
            </w:r>
          </w:p>
          <w:p>
            <w:pPr>
              <w:spacing w:after="0"/>
            </w:pPr>
            <w:r>
              <w:rPr>
                <w:rFonts w:ascii="Arial" w:hAnsi="Arial"/>
                <w:color w:val="232830"/>
                <w:sz w:val="18"/>
              </w:rPr>
              <w:t>Lisinopril (cough)</w:t>
            </w:r>
          </w:p>
        </w:tc>
        <w:tc>
          <w:tcPr>
            <w:tcW w:type="dxa" w:w="2592"/>
            <w:shd w:val="clear" w:color="auto" w:fill="F7F8FA"/>
            <w:tcBorders>
              <w:top w:val="single" w:sz="4" w:color="D0D4DA"/>
              <w:left w:val="single" w:sz="4" w:color="D0D4DA"/>
              <w:bottom w:val="single" w:sz="4" w:color="D0D4DA"/>
              <w:right w:val="single" w:sz="4" w:color="D0D4D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5E6670"/>
                <w:sz w:val="15"/>
              </w:rPr>
              <w:t>Unit / Room</w:t>
            </w:r>
          </w:p>
          <w:p>
            <w:pPr>
              <w:spacing w:after="0"/>
            </w:pPr>
            <w:r>
              <w:rPr>
                <w:rFonts w:ascii="Arial" w:hAnsi="Arial"/>
                <w:color w:val="232830"/>
                <w:sz w:val="18"/>
              </w:rPr>
              <w:t>5 West Medical, Room 5W-318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8"/>
        </w:rPr>
      </w:r>
    </w:p>
    <w:p>
      <w:pPr>
        <w:spacing w:before="80" w:after="60"/>
      </w:pPr>
      <w:r>
        <w:rPr>
          <w:rFonts w:ascii="Arial" w:hAnsi="Arial"/>
          <w:b/>
          <w:i w:val="0"/>
          <w:color w:val="4472C4"/>
          <w:sz w:val="22"/>
        </w:rPr>
        <w:t>REASON FOR CONSULT</w:t>
      </w:r>
    </w:p>
    <w:p>
      <w:pPr>
        <w:spacing w:before="0" w:after="120"/>
      </w:pPr>
      <w:r>
        <w:t>PT consulted for evaluation of functional mobility following acute hospitalization for suspected urinary-source infection, AKI-on-CKD, and pre-admission weakness with a near-fall episode at home on 05/17/2026. Diabetic peripheral neuropathy, HFrEF, and orthostatic vulnerability are part of the baseline mobility picture.</w:t>
      </w:r>
    </w:p>
    <w:p>
      <w:pPr>
        <w:spacing w:before="40" w:after="60"/>
      </w:pPr>
      <w:r>
        <w:rPr>
          <w:rFonts w:ascii="Arial" w:hAnsi="Arial"/>
          <w:b/>
          <w:i w:val="0"/>
          <w:color w:val="4472C4"/>
          <w:sz w:val="22"/>
        </w:rPr>
        <w:t>BASELINE CONTEXT (CHART AND FAMILY REPORT)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32830"/>
          <w:sz w:val="19"/>
        </w:rPr>
        <w:t>Per family and outpatient records, Korvin is usually independent indoors with a slower-than-average pace, and uses a cane occasionally for longer distances or on bad days. He has no interior stairs at home; three exterior steps to the front entry. Wife Mara Merrow is present and engaged but not continuously available for hands-on assistance every hour.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nil"/>
              <w:left w:val="nil"/>
              <w:right w:val="nil"/>
              <w:bottom w:val="single" w:sz="4" w:color="B0B4BA"/>
            </w:tcBorders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p>
      <w:pPr>
        <w:spacing w:before="80" w:after="60"/>
      </w:pPr>
      <w:r>
        <w:t>INITIAL ASSESSMENT — 05/20/2026 (HD3)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Patient seen at bedside. Alert, cooperative, follows single-step directions reliably; multi-step sequencing slowed. Tolerated approximately 18 minutes before requiring a seated rest break.</w:t>
      </w:r>
    </w:p>
    <w:p>
      <w:pPr>
        <w:spacing w:before="40" w:after="40"/>
      </w:pPr>
      <w:r>
        <w:rPr>
          <w:rFonts w:ascii="Arial" w:hAnsi="Arial"/>
          <w:b/>
          <w:i w:val="0"/>
          <w:color w:val="232830"/>
          <w:sz w:val="19"/>
        </w:rPr>
        <w:t>Functional findings: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Bed mobility: </w:t>
      </w:r>
      <w:r>
        <w:rPr>
          <w:rFonts w:ascii="Arial" w:hAnsi="Arial"/>
          <w:color w:val="232830"/>
          <w:sz w:val="19"/>
        </w:rPr>
        <w:t>modified independent, performed slowly. Rolls and scoots with extra time; no hands-on required, but pacing is below his described baseline.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Sit-to-stand (bed and chair): </w:t>
      </w:r>
      <w:r>
        <w:rPr>
          <w:rFonts w:ascii="Arial" w:hAnsi="Arial"/>
          <w:color w:val="232830"/>
          <w:sz w:val="19"/>
        </w:rPr>
        <w:t>minimum assist x1 with verbal cueing for forward weight shift and controlled rise. Asked twice during the session to pause before standing because of subjective lightheadedness.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Standing balance: </w:t>
      </w:r>
      <w:r>
        <w:rPr>
          <w:rFonts w:ascii="Arial" w:hAnsi="Arial"/>
          <w:color w:val="232830"/>
          <w:sz w:val="19"/>
        </w:rPr>
        <w:t>static fair with widened stance and upper-extremity support; dynamic fair− with cueing.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Ambulation: </w:t>
      </w:r>
      <w:r>
        <w:rPr>
          <w:rFonts w:ascii="Arial" w:hAnsi="Arial"/>
          <w:color w:val="232830"/>
          <w:sz w:val="19"/>
        </w:rPr>
        <w:t>10–15 feet with rolling walker and standby assist x1 before requesting to sit. Gait pattern shortened-stride, slightly shuffled, no observed loss of balance during the trial.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Endurance: </w:t>
      </w:r>
      <w:r>
        <w:rPr>
          <w:rFonts w:ascii="Arial" w:hAnsi="Arial"/>
          <w:color w:val="232830"/>
          <w:sz w:val="19"/>
        </w:rPr>
        <w:t>limited. Tires after clustered activity (sit-to-stand combined with short ambulation), needs rest periods between tasks.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Fall risk: </w:t>
      </w:r>
      <w:r>
        <w:rPr>
          <w:rFonts w:ascii="Arial" w:hAnsi="Arial"/>
          <w:color w:val="232830"/>
          <w:sz w:val="19"/>
        </w:rPr>
        <w:t>Morse Fall Scale 65 — high risk category. Drivers include recent near-fall history, IV/saline lock, gait/transfer impairment, neuropathy, and impaired endurance.</w:t>
      </w:r>
    </w:p>
    <w:p>
      <w:pPr>
        <w:spacing w:before="80" w:after="40"/>
      </w:pPr>
      <w:r>
        <w:rPr>
          <w:rFonts w:ascii="Arial" w:hAnsi="Arial"/>
          <w:b/>
          <w:i w:val="0"/>
          <w:color w:val="232830"/>
          <w:sz w:val="19"/>
        </w:rPr>
        <w:t>Initial recommendations: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Rolling walker for ambulation in the immediate post-discharge period; a cane is insufficient given current endurance and orthostatic vulnerability documented this session.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Bedside commode initially if nighttime bathroom distance is excessive or if orthostatic symptoms persist.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Grab bars at toilet and tub/shower entry.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Remove loose rugs from walking paths.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Supervised mobility for the first 5–7 days post-discharge, with reassessment by home or outpatient PT.</w:t>
      </w:r>
    </w:p>
    <w:p>
      <w:pPr>
        <w:pStyle w:val="ListBullet"/>
        <w:spacing w:before="0" w:after="20"/>
      </w:pPr>
      <w:r>
        <w:rPr>
          <w:rFonts w:ascii="Arial" w:hAnsi="Arial"/>
          <w:color w:val="232830"/>
          <w:sz w:val="19"/>
        </w:rPr>
        <w:t>Continue inpatient mobility progression; reassess in 48 hours.</w:t>
      </w:r>
    </w:p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nil"/>
              <w:left w:val="nil"/>
              <w:right w:val="nil"/>
              <w:bottom w:val="single" w:sz="4" w:color="B0B4BA"/>
            </w:tcBorders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p>
      <w:pPr>
        <w:spacing w:before="80" w:after="60"/>
      </w:pPr>
      <w:r>
        <w:t>INTERVAL UPDATE — 05/22/2026 (HD5)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232830"/>
          <w:sz w:val="19"/>
        </w:rPr>
        <w:t>Patient seen for reassessment. More alert and conversational than 05-20; participated for a longer session with two rest breaks.</w:t>
      </w:r>
    </w:p>
    <w:p>
      <w:pPr>
        <w:spacing w:before="40" w:after="40"/>
      </w:pPr>
      <w:r>
        <w:rPr>
          <w:rFonts w:ascii="Arial" w:hAnsi="Arial"/>
          <w:b/>
          <w:i w:val="0"/>
          <w:color w:val="232830"/>
          <w:sz w:val="19"/>
        </w:rPr>
        <w:t>Functional findings: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Bed mobility: </w:t>
      </w:r>
      <w:r>
        <w:rPr>
          <w:rFonts w:ascii="Arial" w:hAnsi="Arial"/>
          <w:color w:val="232830"/>
          <w:sz w:val="19"/>
        </w:rPr>
        <w:t>modified independent, faster than initial assessment.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Sit-to-stand: </w:t>
      </w:r>
      <w:r>
        <w:rPr>
          <w:rFonts w:ascii="Arial" w:hAnsi="Arial"/>
          <w:color w:val="232830"/>
          <w:sz w:val="19"/>
        </w:rPr>
        <w:t>improved to supervision (no hands-on required) with continued verbal cueing for controlled rise. Improvement is real, but performance is not yet at his described prior baseline of independent unassisted rise without cueing.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Ambulation: </w:t>
      </w:r>
      <w:r>
        <w:rPr>
          <w:rFonts w:ascii="Arial" w:hAnsi="Arial"/>
          <w:color w:val="232830"/>
          <w:sz w:val="19"/>
        </w:rPr>
        <w:t>100–150 feet with rolling walker and supervision in the hallway, with one seated rest break. Gait quality steadier than HD3; mild unsteadiness reappears with turning and divided attention.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Endurance: </w:t>
      </w:r>
      <w:r>
        <w:rPr>
          <w:rFonts w:ascii="Arial" w:hAnsi="Arial"/>
          <w:color w:val="232830"/>
          <w:sz w:val="19"/>
        </w:rPr>
        <w:t>still limited. Fatigues after clustered activity and requires rest periods. Improvement trajectory is positive but reserve is not yet reestablished.</w:t>
      </w:r>
    </w:p>
    <w:p>
      <w:pPr>
        <w:pStyle w:val="ListBullet"/>
        <w:spacing w:before="0" w:after="20"/>
      </w:pPr>
      <w:r>
        <w:rPr>
          <w:rFonts w:ascii="Arial" w:hAnsi="Arial"/>
          <w:b/>
          <w:color w:val="232830"/>
          <w:sz w:val="19"/>
        </w:rPr>
        <w:t xml:space="preserve">Fall risk: </w:t>
      </w:r>
      <w:r>
        <w:rPr>
          <w:rFonts w:ascii="Arial" w:hAnsi="Arial"/>
          <w:color w:val="232830"/>
          <w:sz w:val="19"/>
        </w:rPr>
        <w:t>remains in the high-risk range; Morse Fall Scale unchanged at 65 given persistent gait/transfer scoring and IV/orthostatic factors.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232830"/>
          <w:sz w:val="19"/>
        </w:rPr>
        <w:t>Recommendations carried forward unchanged from 05-20: rolling walker, bedside commode initially, grab bars, removal of loose rugs, and supervised mobility for the first 5–7 days post-discharge. Endurance and orthostatic findings do not yet support stepping down to cane-only or unsupervised ambulation.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nil"/>
              <w:left w:val="nil"/>
              <w:right w:val="nil"/>
              <w:bottom w:val="single" w:sz="4" w:color="B0B4BA"/>
            </w:tcBorders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p>
      <w:pPr/>
      <w:r>
        <w:t>TREATMENT GOALS</w:t>
      </w:r>
    </w:p>
    <w:p>
      <w:r>
        <w:t>Short-term (by HD5): Patient will perform sit-to-stand with supervision (no hands-on assist) and ambulate ≥100 feet with rolling walker and supervision. Long-term (by discharge): Patient will ambulate ≥150 feet with rolling walker with supervision sufficient to meet home mobility demands; transfer independence and Morse Fall Scale improvement targeted prior to outpatient PT handoff.</w:t>
      </w:r>
    </w:p>
    <w:p>
      <w:pPr>
        <w:spacing w:before="80" w:after="60"/>
      </w:pPr>
      <w:r>
        <w:rPr>
          <w:rFonts w:ascii="Arial" w:hAnsi="Arial"/>
          <w:b/>
          <w:i w:val="0"/>
          <w:color w:val="4472C4"/>
          <w:sz w:val="22"/>
        </w:rPr>
        <w:t>PT INTERPRETATION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32830"/>
          <w:sz w:val="19"/>
        </w:rPr>
        <w:t>Korvin is improving. He is not at his prior independent indoor baseline during observed therapy. His safety at home depends on assistive-device consistency (rolling walker, not intermittent cane), supervised mobility during the early post-discharge window, environmental hazard removal, and endurance recovery that has not yet occurred.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nil"/>
              <w:left w:val="nil"/>
              <w:right w:val="nil"/>
              <w:bottom w:val="single" w:sz="4" w:color="B0B4BA"/>
            </w:tcBorders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 w:val="0"/>
          <w:color w:val="232830"/>
          <w:sz w:val="4"/>
        </w:rPr>
      </w:r>
    </w:p>
    <w:p>
      <w:pPr>
        <w:spacing w:before="80" w:after="20"/>
      </w:pPr>
      <w:r>
        <w:rPr>
          <w:rFonts w:ascii="Arial" w:hAnsi="Arial"/>
          <w:b w:val="0"/>
          <w:i/>
          <w:color w:val="232830"/>
          <w:sz w:val="18"/>
        </w:rPr>
        <w:t>Electronically signed by Renna Volkos, DPT — Rehabilitation Services, Mercy Vale Regional Medical Center</w:t>
      </w:r>
    </w:p>
    <w:p>
      <w:pPr>
        <w:spacing w:before="0" w:after="160"/>
      </w:pPr>
      <w:r>
        <w:t>Initial assessment 05/20/2026  /  Interval update 05/22/2026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